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pPr>
      <w:r>
        <w:rPr>
          <w:rFonts w:ascii="Times New Roman;serif" w:hAnsi="Times New Roman;serif"/>
          <w:b/>
          <w:color w:val="000000"/>
          <w:sz w:val="32"/>
        </w:rPr>
        <w:t>NATURAL GAS SERVICES GROUP, INC</w:t>
      </w:r>
      <w:r>
        <w:rPr>
          <w:rFonts w:ascii="Times New Roman;serif" w:hAnsi="Times New Roman;serif"/>
          <w:b/>
          <w:color w:val="000000"/>
          <w:sz w:val="36"/>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38" w:type="dxa"/>
        <w:jc w:val="center"/>
        <w:tblInd w:w="0" w:type="dxa"/>
        <w:tblLayout w:type="fixed"/>
        <w:tblCellMar>
          <w:top w:w="28" w:type="dxa"/>
          <w:left w:w="28" w:type="dxa"/>
          <w:bottom w:w="28" w:type="dxa"/>
          <w:right w:w="28" w:type="dxa"/>
        </w:tblCellMar>
      </w:tblPr>
      <w:tblGrid>
        <w:gridCol w:w="828"/>
        <w:gridCol w:w="731"/>
        <w:gridCol w:w="736"/>
        <w:gridCol w:w="109"/>
        <w:gridCol w:w="109"/>
        <w:gridCol w:w="109"/>
        <w:gridCol w:w="762"/>
        <w:gridCol w:w="762"/>
        <w:gridCol w:w="770"/>
        <w:gridCol w:w="109"/>
        <w:gridCol w:w="109"/>
        <w:gridCol w:w="109"/>
        <w:gridCol w:w="845"/>
        <w:gridCol w:w="845"/>
        <w:gridCol w:w="1205"/>
      </w:tblGrid>
      <w:tr>
        <w:trPr/>
        <w:tc>
          <w:tcPr>
            <w:tcW w:w="8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417" w:before="40" w:after="283"/>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Southlake, TX 76092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60"/>
        <w:jc w:val="both"/>
        <w:rPr/>
      </w:pPr>
      <w:r>
        <w:rPr/>
      </w:r>
    </w:p>
    <w:p>
      <w:pPr>
        <w:pStyle w:val="TextBody"/>
        <w:bidi w:val="0"/>
        <w:spacing w:lineRule="auto" w:line="288" w:before="0" w:after="60"/>
        <w:jc w:val="both"/>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60"/>
        <w:jc w:val="both"/>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240.13e-14(c)).</w:t>
      </w:r>
    </w:p>
    <w:tbl>
      <w:tblPr>
        <w:tblW w:w="8636" w:type="dxa"/>
        <w:jc w:val="left"/>
        <w:tblInd w:w="0" w:type="dxa"/>
        <w:tblLayout w:type="fixed"/>
        <w:tblCellMar>
          <w:top w:w="28" w:type="dxa"/>
          <w:left w:w="28" w:type="dxa"/>
          <w:bottom w:w="28" w:type="dxa"/>
          <w:right w:w="28" w:type="dxa"/>
        </w:tblCellMar>
      </w:tblPr>
      <w:tblGrid>
        <w:gridCol w:w="897"/>
        <w:gridCol w:w="789"/>
        <w:gridCol w:w="789"/>
        <w:gridCol w:w="272"/>
        <w:gridCol w:w="272"/>
        <w:gridCol w:w="272"/>
        <w:gridCol w:w="420"/>
        <w:gridCol w:w="420"/>
        <w:gridCol w:w="420"/>
        <w:gridCol w:w="272"/>
        <w:gridCol w:w="272"/>
        <w:gridCol w:w="272"/>
        <w:gridCol w:w="958"/>
        <w:gridCol w:w="958"/>
        <w:gridCol w:w="1353"/>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863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NYSE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Natural Gas Services Group, Inc. (the “Company”) issued a press release announcing its results of operations for three months ended June 30, 2026. The press release issued August 10, 2026 is furnished as Exhibit No. 99.1 to this Current Report on Form 8-K. Natural Gas Services Group’s annual report on Form 10-K and its reports on Forms 10-Q and 8-K and other publicly available information should be consulted for other important information about Natural Gas Services Group,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No. 99.1 hereto, shall not be deemed “filed” for purposes of Section 18 of the Securities Exchange Act of 1934, as amended, or otherwise subject to liability of that section. The information in this Current Report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the Company announced that its Board of Directors has declared a cash dividend of $0.15 per share of common stock. This cash dividend will be paid on September 2, 2026, to all shareholders of record as of the close of business on August 19, 2026.</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Exhibit listed below is furnished as an Exhibit to this Current Report on Form 8-K.</w:t>
      </w:r>
    </w:p>
    <w:tbl>
      <w:tblPr>
        <w:tblW w:w="7709" w:type="dxa"/>
        <w:jc w:val="center"/>
        <w:tblInd w:w="0" w:type="dxa"/>
        <w:tblLayout w:type="fixed"/>
        <w:tblCellMar>
          <w:top w:w="28" w:type="dxa"/>
          <w:left w:w="28" w:type="dxa"/>
          <w:bottom w:w="28" w:type="dxa"/>
          <w:right w:w="28" w:type="dxa"/>
        </w:tblCellMar>
      </w:tblPr>
      <w:tblGrid>
        <w:gridCol w:w="385"/>
        <w:gridCol w:w="338"/>
        <w:gridCol w:w="341"/>
        <w:gridCol w:w="1946"/>
        <w:gridCol w:w="1946"/>
        <w:gridCol w:w="275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664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a20262qearningsreleaseex991.htm">
              <w:r>
                <w:rPr>
                  <w:rStyle w:val="InternetLink"/>
                  <w:rFonts w:ascii="Times New Roman;serif" w:hAnsi="Times New Roman;serif"/>
                  <w:b w:val="false"/>
                  <w:color w:val="000000"/>
                  <w:sz w:val="20"/>
                </w:rPr>
                <w:t>99.1</w:t>
              </w:r>
            </w:hyperlink>
          </w:p>
        </w:tc>
        <w:tc>
          <w:tcPr>
            <w:tcW w:w="664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issued August 10, 2026</w:t>
            </w:r>
          </w:p>
        </w:tc>
      </w:tr>
      <w:tr>
        <w:trPr/>
        <w:tc>
          <w:tcPr>
            <w:tcW w:w="10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990"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398"/>
        <w:gridCol w:w="398"/>
        <w:gridCol w:w="398"/>
        <w:gridCol w:w="398"/>
        <w:gridCol w:w="398"/>
        <w:gridCol w:w="398"/>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3016" w:type="dxa"/>
        <w:jc w:val="left"/>
        <w:tblInd w:w="0" w:type="dxa"/>
        <w:tblLayout w:type="fixed"/>
        <w:tblCellMar>
          <w:top w:w="28" w:type="dxa"/>
          <w:left w:w="28" w:type="dxa"/>
          <w:bottom w:w="28" w:type="dxa"/>
          <w:right w:w="28" w:type="dxa"/>
        </w:tblCellMar>
      </w:tblPr>
      <w:tblGrid>
        <w:gridCol w:w="679"/>
        <w:gridCol w:w="596"/>
        <w:gridCol w:w="600"/>
        <w:gridCol w:w="334"/>
        <w:gridCol w:w="334"/>
        <w:gridCol w:w="473"/>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4"/>
              </w:rPr>
            </w:pPr>
            <w:r>
              <w:rPr>
                <w:rFonts w:ascii="Times New Roman;serif" w:hAnsi="Times New Roman;serif"/>
                <w:b/>
                <w:color w:val="000000"/>
                <w:sz w:val="14"/>
              </w:rPr>
              <w:t>FOR IMMEDIATE RELEASE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r>
              <w:rPr>
                <w:rFonts w:ascii="Times New Roman;serif" w:hAnsi="Times New Roman;serif"/>
                <w:b/>
                <w:color w:val="000000"/>
                <w:sz w:val="14"/>
              </w:rPr>
              <w:t>NEWS</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August 10, 2026</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14"/>
              </w:rPr>
            </w:pPr>
            <w:r>
              <w:rPr>
                <w:rFonts w:ascii="Times New Roman;serif" w:hAnsi="Times New Roman;serif"/>
                <w:b/>
                <w:color w:val="000000"/>
                <w:sz w:val="14"/>
              </w:rPr>
              <w:t>NYSE: NGS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Natural Gas Services Group, Inc.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Reports Second Quarter 2026 Financial and Operating Results;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Announces Dividend and Provides Updated Guidance</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i/>
          <w:color w:val="000000"/>
          <w:sz w:val="20"/>
        </w:rPr>
        <w:t>SOUTHLAKE, Texas, August 10, 2026 (GLOBE NEWSWIRE)</w:t>
      </w:r>
      <w:r>
        <w:rPr>
          <w:color w:val="000000"/>
        </w:rPr>
        <w:t xml:space="preserve"> </w:t>
      </w:r>
      <w:r>
        <w:rPr>
          <w:rFonts w:ascii="Times New Roman;serif" w:hAnsi="Times New Roman;serif"/>
          <w:b w:val="false"/>
          <w:color w:val="000000"/>
          <w:sz w:val="20"/>
        </w:rPr>
        <w:t>Natural Gas Services Group, Inc. (“NGS” or the “Company”) (NYSE:NGS), a leading provider of natural gas compression</w:t>
      </w:r>
      <w:r>
        <w:rPr>
          <w:color w:val="000000"/>
        </w:rPr>
        <w:t xml:space="preserve"> </w:t>
      </w:r>
      <w:r>
        <w:rPr>
          <w:rFonts w:ascii="Times New Roman;serif" w:hAnsi="Times New Roman;serif"/>
          <w:b w:val="false"/>
          <w:color w:val="000000"/>
          <w:sz w:val="20"/>
        </w:rPr>
        <w:t xml:space="preserve">equipment, technology, and services to the energy industry, today announced financial results for the three months ended June 30, 2026. </w:t>
      </w:r>
    </w:p>
    <w:p>
      <w:pPr>
        <w:pStyle w:val="TextBody"/>
        <w:bidi w:val="0"/>
        <w:spacing w:before="0" w:after="0"/>
        <w:jc w:val="center"/>
        <w:rPr/>
      </w:pPr>
      <w:r>
        <w:rPr/>
      </w:r>
    </w:p>
    <w:p>
      <w:pPr>
        <w:pStyle w:val="TextBody"/>
        <w:bidi w:val="0"/>
        <w:spacing w:lineRule="auto" w:line="256" w:before="0" w:after="0"/>
        <w:jc w:val="both"/>
        <w:rPr/>
      </w:pPr>
      <w:r>
        <w:rPr>
          <w:rFonts w:ascii="Times New Roman;serif" w:hAnsi="Times New Roman;serif"/>
          <w:b/>
          <w:color w:val="000000"/>
          <w:sz w:val="24"/>
        </w:rPr>
        <w:t>Second Quarter 2026 Highlights</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Rental revenue of $49.4 million for the second quarter of 2026 represents a 24.9% year-over-year increase and a 4.9% sequential increase compared to the first quarter of 2026.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Net income of $3.8 million, or $0.30 per diluted share, for the second quarter of 2026 compared to $5.2 million or $0.41 per diluted share for the second quarter of 2025 and $6.8 million, or $0.53 per diluted share for the first quarter of 2026.</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months ended June 30, 2026, was $6.1 million, or $0.47 per diluted share, compared to Adjusted Net Income of $5.3 million, or $0.42 per diluted share, for the comparable 2025 period.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Completed the acquisition of Flatrock Compression Holdings, LLC ("Flatrock") on June 12, 2026, adding 87,233 rented horsepower (the "Flatrock Acquisition").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of $25.1 million for the second quarter of 2026, represents a 27.4% year-over-year increase and a 3.3% increase sequentially.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Returned $1.9 million to shareholders during the second quarter of 2026 through the Company's quarterly dividend of $0.15 per share and announced a third-quarter dividend of $0.15 per share to stockholders of record as of August 19, 2026, expected to be paid on September 2, 2026.</w:t>
      </w:r>
    </w:p>
    <w:p>
      <w:pPr>
        <w:pStyle w:val="TextBody"/>
        <w:bidi w:val="0"/>
        <w:spacing w:before="0" w:after="0"/>
        <w:jc w:val="left"/>
        <w:rPr/>
      </w:pPr>
      <w:r>
        <w:rPr/>
      </w:r>
    </w:p>
    <w:p>
      <w:pPr>
        <w:pStyle w:val="TextBody"/>
        <w:bidi w:val="0"/>
        <w:spacing w:lineRule="auto" w:line="276" w:before="0" w:after="40"/>
        <w:jc w:val="both"/>
        <w:rPr>
          <w:rFonts w:ascii="Times New Roman;serif" w:hAnsi="Times New Roman;serif"/>
          <w:b/>
          <w:color w:val="000000"/>
          <w:sz w:val="24"/>
        </w:rPr>
      </w:pPr>
      <w:r>
        <w:rPr>
          <w:rFonts w:ascii="Times New Roman;serif" w:hAnsi="Times New Roman;serif"/>
          <w:b/>
          <w:color w:val="000000"/>
          <w:sz w:val="24"/>
        </w:rPr>
        <w:t xml:space="preserve">Management Commentary and Outlook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"NGS delivered a record second quarter and a milestone first half of 2026," said Justin Jacobs, Chief Executive Officer. "Second quarter rental revenue increased 25% year over year, Adjusted EBITDA increased 27% year over year, and horsepower utilization reached a record 88.3%. These results reflect great field execution and strong demand for our fleet."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acquisition of Flatrock added approximately 92,600 total horsepower to our fleet, improved our unit density in key growth basins, and accelerated our electric motor drive strategy. With only a partial month of Flatrock results included in the quarter, the full financial benefit of the combined platform remains ahead of us. Integration is progressing well, and we already see meaningful opportunities to diversify organic growth, improve field operating efficiency, and enhance fixed cost leverage."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"Organic momentum also remains strong. We added 22,200 total horsepower during the first half of 2026, with large horsepower electric motor drive equipment comprising well more than half of those additions, and we now expect to deploy at least 55,000 horsepower organically this year. Industry fundamentals remain constructive, supported by high utilization, constrained equipment supply, and growing compression requirements tied to oil and gas production, LNG exports, and power demand."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record first-half performance and the Flatrock Acquisition, we are increasing full-year 2026 Adjusted EBITDA guidance to $103 million to $108 million. We ended the quarter with bank covenant leverage of 2.77x and more than $170 million of facility capacity providing flexibility to continue executing our strategic growth levers while returning capital to shareholders."</w:t>
      </w:r>
    </w:p>
    <w:p>
      <w:pPr>
        <w:pStyle w:val="TextBody"/>
        <w:bidi w:val="0"/>
        <w:spacing w:before="0" w:after="0"/>
        <w:jc w:val="both"/>
        <w:rPr/>
      </w:pPr>
      <w:r>
        <w:rPr/>
      </w:r>
    </w:p>
    <w:p>
      <w:pPr>
        <w:pStyle w:val="TextBody"/>
        <w:bidi w:val="0"/>
        <w:spacing w:lineRule="auto" w:line="276"/>
        <w:ind w:left="0" w:right="0" w:hanging="360"/>
        <w:jc w:val="both"/>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20"/>
        </w:rPr>
        <w:t>For a definition of Adjusted Gross Margin, Adjusted Net Income and Adjusted EBITDA and reconciliation to their most directly comparable financial measures calculated and presented in accordance with GAAP, please see “Non-GAAP Financial Measures - Adjusted Gross Margin,” “Non-GAAP Financial Measures - Adjusted Net Income” and “Non-GAAP Financial Measures - Adjusted EBITDA” below.</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60"/>
        <w:jc w:val="both"/>
        <w:rPr>
          <w:rFonts w:ascii="Times New Roman;serif" w:hAnsi="Times New Roman;serif"/>
          <w:b/>
          <w:color w:val="000000"/>
          <w:sz w:val="24"/>
        </w:rPr>
      </w:pPr>
      <w:r>
        <w:rPr>
          <w:rFonts w:ascii="Times New Roman;serif" w:hAnsi="Times New Roman;serif"/>
          <w:b/>
          <w:color w:val="000000"/>
          <w:sz w:val="24"/>
        </w:rPr>
        <w:t>Corporate Guidance — 2026 Outlook</w:t>
      </w:r>
    </w:p>
    <w:p>
      <w:pPr>
        <w:pStyle w:val="TextBody"/>
        <w:bidi w:val="0"/>
        <w:spacing w:lineRule="auto" w:line="268" w:before="0" w:after="60"/>
        <w:jc w:val="both"/>
        <w:rPr>
          <w:rFonts w:ascii="Times New Roman;serif" w:hAnsi="Times New Roman;serif"/>
          <w:b w:val="false"/>
          <w:color w:val="000000"/>
          <w:sz w:val="20"/>
        </w:rPr>
      </w:pPr>
      <w:r>
        <w:rPr>
          <w:rFonts w:ascii="Times New Roman;serif" w:hAnsi="Times New Roman;serif"/>
          <w:b w:val="false"/>
          <w:color w:val="000000"/>
          <w:sz w:val="20"/>
        </w:rPr>
        <w:t>The Company now expects 2026 Adjusted EBITDA of $103 million to $108 million, compared to prior guidance of $92.5 million to $97.5 million. The updated guidance reflects record first-half performance, the June 12 acquisition of Flatrock, high utilization, and contracted organic fleet expansion balanced with expected inflationary pressures during the remainder of 2026.</w:t>
      </w:r>
    </w:p>
    <w:tbl>
      <w:tblPr>
        <w:tblW w:w="6255" w:type="dxa"/>
        <w:jc w:val="center"/>
        <w:tblInd w:w="0" w:type="dxa"/>
        <w:tblLayout w:type="fixed"/>
        <w:tblCellMar>
          <w:top w:w="28" w:type="dxa"/>
          <w:left w:w="28" w:type="dxa"/>
          <w:bottom w:w="28" w:type="dxa"/>
          <w:right w:w="28" w:type="dxa"/>
        </w:tblCellMar>
      </w:tblPr>
      <w:tblGrid>
        <w:gridCol w:w="1383"/>
        <w:gridCol w:w="1217"/>
        <w:gridCol w:w="1225"/>
        <w:gridCol w:w="711"/>
        <w:gridCol w:w="711"/>
        <w:gridCol w:w="1008"/>
      </w:tblGrid>
      <w:tr>
        <w:trPr/>
        <w:tc>
          <w:tcPr>
            <w:tcW w:w="138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Outlook</w:t>
            </w:r>
          </w:p>
        </w:tc>
      </w:tr>
      <w:tr>
        <w:trPr/>
        <w:tc>
          <w:tcPr>
            <w:tcW w:w="38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FY 2026 Adjusted EBITDA</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 million - $108 million</w:t>
            </w:r>
          </w:p>
        </w:tc>
      </w:tr>
      <w:tr>
        <w:trPr/>
        <w:tc>
          <w:tcPr>
            <w:tcW w:w="38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FY 2026 Growth Capital Expenditures</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 million - $80 million</w:t>
            </w:r>
          </w:p>
        </w:tc>
      </w:tr>
      <w:tr>
        <w:trPr/>
        <w:tc>
          <w:tcPr>
            <w:tcW w:w="38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FY 2026 Maintenance Capital Expenditures</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 million - $19 million</w:t>
            </w:r>
          </w:p>
        </w:tc>
      </w:tr>
    </w:tbl>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outlook for capital expenditures has been updated to reflect the larger combined fleet and growth commitments following the acquisition of Flatrock. Growth capital expenditures for 2026 are expected in the range of $60 million to $80 million, excluding acquisition consideration, and remain focused on the deployment of large horsepower and electric motor drive compression units. Maintenance capital expenditures for 2026 are expected in the range of $15 million to $19 million.</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Consistent with prior periods, the Company remains committed to disciplined capital allocation and investing in assets that generate attractive long-term returns. The Company's operating cash flow, expanded $500 million credit facility, and significant borrowing capacity provide flexibility to integrate Flatrock, fund organic growth, pursue accretive acquisitions, and return capital to shareholders.</w:t>
      </w:r>
    </w:p>
    <w:p>
      <w:pPr>
        <w:pStyle w:val="TextBody"/>
        <w:bidi w:val="0"/>
        <w:spacing w:lineRule="auto" w:line="256" w:before="0" w:after="120"/>
        <w:jc w:val="both"/>
        <w:rPr>
          <w:rFonts w:ascii="Times New Roman;serif" w:hAnsi="Times New Roman;serif"/>
          <w:b/>
          <w:color w:val="000000"/>
          <w:sz w:val="24"/>
        </w:rPr>
      </w:pPr>
      <w:r>
        <w:rPr>
          <w:rFonts w:ascii="Times New Roman;serif" w:hAnsi="Times New Roman;serif"/>
          <w:b/>
          <w:color w:val="000000"/>
          <w:sz w:val="24"/>
        </w:rPr>
        <w:t>2026 Second Quarter Financial Results</w:t>
      </w:r>
    </w:p>
    <w:p>
      <w:pPr>
        <w:pStyle w:val="TextBody"/>
        <w:bidi w:val="0"/>
        <w:spacing w:lineRule="auto" w:line="276" w:before="0" w:after="120"/>
        <w:jc w:val="both"/>
        <w:rPr/>
      </w:pP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Total revenue for the three months ended June 30, 2026, increased 24.2% to $51.4 million from $41.4 million for the three months ended June 30, 2025. This increase was primarily attributable to higher rental revenues for the comparable periods. Rental revenue increased 24.9% to $49.4 million from $39.6 million in the second quarter of 2025 driven by contracted fleet expansion and continued pricing strength across the company's fleet. Revenues provided by Flatrock during the partial month period were $2.2 million. As of June 30, 2026, we had 669,919 rented horsepower (1,521 utilized units) compared to 498,651 horsepower (1,198 utilized units) as of June 30, 2025, reflecting a 34.3% increase in total utilized horsepower. Flatrock accounted for 87,233 rented horsepower from 270 utilized units.</w:t>
      </w:r>
    </w:p>
    <w:p>
      <w:pPr>
        <w:pStyle w:val="TextBody"/>
        <w:bidi w:val="0"/>
        <w:spacing w:lineRule="auto" w:line="276" w:before="0" w:after="120"/>
        <w:jc w:val="both"/>
        <w:rPr/>
      </w:pPr>
      <w:r>
        <w:rPr>
          <w:rFonts w:ascii="Times New Roman;serif" w:hAnsi="Times New Roman;serif"/>
          <w:b/>
          <w:color w:val="000000"/>
          <w:sz w:val="20"/>
        </w:rPr>
        <w:t>Gross Margins and Adjusted Gross Margins</w:t>
      </w:r>
      <w:r>
        <w:rPr>
          <w:rFonts w:ascii="Times New Roman;serif" w:hAnsi="Times New Roman;serif"/>
          <w:b w:val="false"/>
          <w:color w:val="000000"/>
          <w:sz w:val="13"/>
        </w:rPr>
        <w:t>(1)</w:t>
      </w:r>
      <w:r>
        <w:rPr>
          <w:rFonts w:ascii="Times New Roman;serif" w:hAnsi="Times New Roman;serif"/>
          <w:b/>
          <w:color w:val="000000"/>
          <w:sz w:val="20"/>
        </w:rPr>
        <w:t xml:space="preserve">: </w:t>
      </w:r>
      <w:r>
        <w:rPr>
          <w:rFonts w:ascii="Times New Roman;serif" w:hAnsi="Times New Roman;serif"/>
          <w:b w:val="false"/>
          <w:color w:val="000000"/>
          <w:sz w:val="20"/>
        </w:rPr>
        <w:t>Total gross margins, including depreciation expense increased to $20.1 million for the three months ended June 30, 2026, compared to $15.4 million for the same period in 2025. Total Adjusted Gross Margin, exclusive of depreciation expense, increased to $30.8 million for the three months ended June 30, 2026, compared to $24.2 million for the same period in 2025.</w:t>
      </w:r>
      <w:r>
        <w:rPr>
          <w:color w:val="000000"/>
        </w:rPr>
        <w:t xml:space="preserve"> </w:t>
      </w:r>
    </w:p>
    <w:p>
      <w:pPr>
        <w:pStyle w:val="TextBody"/>
        <w:bidi w:val="0"/>
        <w:spacing w:lineRule="auto" w:line="276" w:before="0" w:after="120"/>
        <w:jc w:val="both"/>
        <w:rPr/>
      </w:pPr>
      <w:r>
        <w:rPr>
          <w:rFonts w:ascii="Times New Roman;serif" w:hAnsi="Times New Roman;serif"/>
          <w:b/>
          <w:color w:val="000000"/>
          <w:sz w:val="20"/>
        </w:rPr>
        <w:t>Operating Income:</w:t>
      </w:r>
      <w:r>
        <w:rPr>
          <w:color w:val="000000"/>
        </w:rPr>
        <w:t xml:space="preserve"> </w:t>
      </w:r>
      <w:r>
        <w:rPr>
          <w:rFonts w:ascii="Times New Roman;serif" w:hAnsi="Times New Roman;serif"/>
          <w:b w:val="false"/>
          <w:color w:val="000000"/>
          <w:sz w:val="20"/>
        </w:rPr>
        <w:t xml:space="preserve">Operating income for the three months ended June 30, 2026, was $9.9 million and was essentially unchanged from the comparable 2025 period. </w:t>
      </w:r>
    </w:p>
    <w:p>
      <w:pPr>
        <w:pStyle w:val="TextBody"/>
        <w:bidi w:val="0"/>
        <w:spacing w:lineRule="auto" w:line="276" w:before="0" w:after="120"/>
        <w:jc w:val="both"/>
        <w:rPr/>
      </w:pPr>
      <w:r>
        <w:rPr>
          <w:rFonts w:ascii="Times New Roman;serif" w:hAnsi="Times New Roman;serif"/>
          <w:b/>
          <w:color w:val="000000"/>
          <w:sz w:val="20"/>
        </w:rPr>
        <w:t>Net Income and Adjusted Net Income</w:t>
      </w:r>
      <w:r>
        <w:rPr>
          <w:rFonts w:ascii="Times New Roman;serif" w:hAnsi="Times New Roman;serif"/>
          <w:b w:val="false"/>
          <w:color w:val="000000"/>
          <w:sz w:val="13"/>
        </w:rPr>
        <w:t>(1)</w:t>
      </w:r>
      <w:r>
        <w:rPr>
          <w:rFonts w:ascii="Times New Roman;serif" w:hAnsi="Times New Roman;serif"/>
          <w:b/>
          <w:color w:val="000000"/>
          <w:sz w:val="20"/>
        </w:rPr>
        <w:t xml:space="preserve">: </w:t>
      </w:r>
      <w:r>
        <w:rPr>
          <w:rFonts w:ascii="Times New Roman;serif" w:hAnsi="Times New Roman;serif"/>
          <w:b w:val="false"/>
          <w:color w:val="000000"/>
          <w:sz w:val="20"/>
        </w:rPr>
        <w:t>Net income for the three months ended June 30, 2026, was $3.8 million, or $0.30 per diluted share, compared to net income of $5.2 million, or $0.41 per diluted share, for the comparable 2025 period and $6.8 million, or $0.53 per diluted share for the three months ended March 31, 2026. The year-over-year and sequential decline in net income were driven by $3.3 million of strategic transaction costs attributable to the Flatrock Acquisition embedded in selling, general and administrative expenses, partially offset by increases in rental revenue and the associated gross margin impact. Adjusted Net Income for the three months ended June 30, 2026, was $6.1 million, or $0.47 per diluted share, compared to Adjusted Net Income of $5.3 million, or $0.42 per diluted share, for the comparable 2025 period.</w:t>
      </w:r>
    </w:p>
    <w:p>
      <w:pPr>
        <w:pStyle w:val="TextBody"/>
        <w:bidi w:val="0"/>
        <w:spacing w:lineRule="auto" w:line="276" w:before="0" w:after="120"/>
        <w:jc w:val="both"/>
        <w:rPr/>
      </w:pPr>
      <w:r>
        <w:rPr>
          <w:rFonts w:ascii="Times New Roman;serif" w:hAnsi="Times New Roman;serif"/>
          <w:b/>
          <w:color w:val="000000"/>
          <w:sz w:val="20"/>
        </w:rPr>
        <w:t>Cash Flows:</w:t>
      </w:r>
      <w:r>
        <w:rPr>
          <w:color w:val="000000"/>
        </w:rPr>
        <w:t xml:space="preserve"> </w:t>
      </w:r>
      <w:r>
        <w:rPr>
          <w:rFonts w:ascii="Times New Roman;serif" w:hAnsi="Times New Roman;serif"/>
          <w:b w:val="false"/>
          <w:color w:val="000000"/>
          <w:sz w:val="20"/>
        </w:rPr>
        <w:t>For the three months ended June 30, 2026, cash flows provided by operating activities were $25.4 million, while cash flows used in investing activities were $127.5 million which includes $108.7 million for the cash portion of the Flatrock Acquisition, net of cash acquired and $18.8 million of capital expenditures including $15.4 million and $3.4 million for growth and maintenance, respectively. This compares to cash flows from operating activities of $11.0 million and cash flows used in investing activities of $25.7 million for the comparable period in 2025.</w:t>
      </w:r>
    </w:p>
    <w:p>
      <w:pPr>
        <w:pStyle w:val="TextBody"/>
        <w:bidi w:val="0"/>
        <w:spacing w:lineRule="auto" w:line="276" w:before="0" w:after="60"/>
        <w:jc w:val="both"/>
        <w:rPr/>
      </w:pPr>
      <w:r>
        <w:rPr>
          <w:rFonts w:ascii="Times New Roman;serif" w:hAnsi="Times New Roman;serif"/>
          <w:b/>
          <w:color w:val="000000"/>
          <w:sz w:val="20"/>
        </w:rPr>
        <w:t>Adjusted EBITDA</w:t>
      </w:r>
      <w:r>
        <w:rPr>
          <w:rFonts w:ascii="Times New Roman;serif" w:hAnsi="Times New Roman;serif"/>
          <w:b w:val="false"/>
          <w:color w:val="000000"/>
          <w:sz w:val="13"/>
        </w:rPr>
        <w:t>(1)</w:t>
      </w:r>
      <w:r>
        <w:rPr>
          <w:rFonts w:ascii="Times New Roman;serif" w:hAnsi="Times New Roman;serif"/>
          <w:b/>
          <w:color w:val="000000"/>
          <w:sz w:val="20"/>
        </w:rPr>
        <w:t xml:space="preserve">: </w:t>
      </w:r>
      <w:r>
        <w:rPr>
          <w:rFonts w:ascii="Times New Roman;serif" w:hAnsi="Times New Roman;serif"/>
          <w:b w:val="false"/>
          <w:color w:val="000000"/>
          <w:sz w:val="20"/>
        </w:rPr>
        <w:t>Adjusted EBITDA increased 27.4% to $25.1 million for the three months ended June 30, 2026, from $19.7 million for the same period in 2025. The increase was primarily attributable to higher rental revenue and rental adjusted gross margin. Sequentially, Adjusted EBITDA increased 3.3% when compared to $24.3 million for the three months ended March 31, 2026.</w:t>
      </w:r>
    </w:p>
    <w:p>
      <w:pPr>
        <w:pStyle w:val="TextBody"/>
        <w:bidi w:val="0"/>
        <w:spacing w:lineRule="auto" w:line="276" w:before="0" w:after="60"/>
        <w:jc w:val="both"/>
        <w:rPr/>
      </w:pPr>
      <w:r>
        <w:rPr>
          <w:rFonts w:ascii="Times New Roman;serif" w:hAnsi="Times New Roman;serif"/>
          <w:b/>
          <w:color w:val="000000"/>
          <w:sz w:val="20"/>
        </w:rPr>
        <w:t xml:space="preserve">Debt: </w:t>
      </w:r>
      <w:r>
        <w:rPr>
          <w:rFonts w:ascii="Times New Roman;serif" w:hAnsi="Times New Roman;serif"/>
          <w:b w:val="false"/>
          <w:color w:val="000000"/>
          <w:sz w:val="20"/>
        </w:rPr>
        <w:t>Outstanding debt on our revolving credit facility as of June 30, 2026, was $328.0 million with over $170 million available on our facility and $134.8 million of availability, reflecting the applicable borrowing base calculation. Our leverage ratio as of June 30, 2026, was 2.77x and our fixed charge coverage ratio was 4.18x. As of June 30, 2026, the Company was in compliance with all terms, conditions and covenants of the credit agreement.</w:t>
      </w:r>
    </w:p>
    <w:p>
      <w:pPr>
        <w:pStyle w:val="TextBody"/>
        <w:bidi w:val="0"/>
        <w:ind w:left="0" w:right="0" w:hanging="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Selected data (unaudited):</w:t>
      </w:r>
      <w:r>
        <w:rPr>
          <w:color w:val="000000"/>
        </w:rPr>
        <w:t xml:space="preserve"> </w:t>
      </w:r>
      <w:r>
        <w:rPr>
          <w:rFonts w:ascii="Times New Roman;serif" w:hAnsi="Times New Roman;serif"/>
          <w:b w:val="false"/>
          <w:color w:val="000000"/>
          <w:sz w:val="20"/>
        </w:rPr>
        <w:t>The tables below show revenue by product line, gross margin and adjusted gross margin for the trailing five quarters. Adjusted gross margin is the difference between revenue and cost of sales, exclusive of depreciation.</w:t>
      </w:r>
    </w:p>
    <w:tbl>
      <w:tblPr>
        <w:tblW w:w="9691" w:type="dxa"/>
        <w:jc w:val="center"/>
        <w:tblInd w:w="0" w:type="dxa"/>
        <w:tblLayout w:type="fixed"/>
        <w:tblCellMar>
          <w:top w:w="28" w:type="dxa"/>
          <w:left w:w="28" w:type="dxa"/>
          <w:bottom w:w="28" w:type="dxa"/>
          <w:right w:w="28" w:type="dxa"/>
        </w:tblCellMar>
      </w:tblPr>
      <w:tblGrid>
        <w:gridCol w:w="575"/>
        <w:gridCol w:w="503"/>
        <w:gridCol w:w="511"/>
        <w:gridCol w:w="234"/>
        <w:gridCol w:w="800"/>
        <w:gridCol w:w="121"/>
        <w:gridCol w:w="109"/>
        <w:gridCol w:w="109"/>
        <w:gridCol w:w="109"/>
        <w:gridCol w:w="325"/>
        <w:gridCol w:w="1112"/>
        <w:gridCol w:w="168"/>
        <w:gridCol w:w="109"/>
        <w:gridCol w:w="109"/>
        <w:gridCol w:w="109"/>
        <w:gridCol w:w="313"/>
        <w:gridCol w:w="1070"/>
        <w:gridCol w:w="161"/>
        <w:gridCol w:w="109"/>
        <w:gridCol w:w="109"/>
        <w:gridCol w:w="109"/>
        <w:gridCol w:w="261"/>
        <w:gridCol w:w="894"/>
        <w:gridCol w:w="135"/>
        <w:gridCol w:w="109"/>
        <w:gridCol w:w="109"/>
        <w:gridCol w:w="109"/>
        <w:gridCol w:w="233"/>
        <w:gridCol w:w="797"/>
        <w:gridCol w:w="170"/>
      </w:tblGrid>
      <w:tr>
        <w:trPr/>
        <w:tc>
          <w:tcPr>
            <w:tcW w:w="57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Revenues</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Aftermarket services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91" w:type="dxa"/>
        <w:jc w:val="center"/>
        <w:tblInd w:w="0" w:type="dxa"/>
        <w:tblLayout w:type="fixed"/>
        <w:tblCellMar>
          <w:top w:w="28" w:type="dxa"/>
          <w:left w:w="28" w:type="dxa"/>
          <w:bottom w:w="28" w:type="dxa"/>
          <w:right w:w="28" w:type="dxa"/>
        </w:tblCellMar>
      </w:tblPr>
      <w:tblGrid>
        <w:gridCol w:w="575"/>
        <w:gridCol w:w="503"/>
        <w:gridCol w:w="511"/>
        <w:gridCol w:w="234"/>
        <w:gridCol w:w="800"/>
        <w:gridCol w:w="121"/>
        <w:gridCol w:w="109"/>
        <w:gridCol w:w="109"/>
        <w:gridCol w:w="109"/>
        <w:gridCol w:w="325"/>
        <w:gridCol w:w="1112"/>
        <w:gridCol w:w="168"/>
        <w:gridCol w:w="109"/>
        <w:gridCol w:w="109"/>
        <w:gridCol w:w="109"/>
        <w:gridCol w:w="313"/>
        <w:gridCol w:w="1070"/>
        <w:gridCol w:w="161"/>
        <w:gridCol w:w="109"/>
        <w:gridCol w:w="109"/>
        <w:gridCol w:w="109"/>
        <w:gridCol w:w="261"/>
        <w:gridCol w:w="894"/>
        <w:gridCol w:w="135"/>
        <w:gridCol w:w="109"/>
        <w:gridCol w:w="109"/>
        <w:gridCol w:w="109"/>
        <w:gridCol w:w="233"/>
        <w:gridCol w:w="797"/>
        <w:gridCol w:w="170"/>
      </w:tblGrid>
      <w:tr>
        <w:trPr/>
        <w:tc>
          <w:tcPr>
            <w:tcW w:w="57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Margin</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Aftermarket services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91" w:type="dxa"/>
        <w:jc w:val="center"/>
        <w:tblInd w:w="0" w:type="dxa"/>
        <w:tblLayout w:type="fixed"/>
        <w:tblCellMar>
          <w:top w:w="28" w:type="dxa"/>
          <w:left w:w="28" w:type="dxa"/>
          <w:bottom w:w="28" w:type="dxa"/>
          <w:right w:w="28" w:type="dxa"/>
        </w:tblCellMar>
      </w:tblPr>
      <w:tblGrid>
        <w:gridCol w:w="575"/>
        <w:gridCol w:w="503"/>
        <w:gridCol w:w="511"/>
        <w:gridCol w:w="234"/>
        <w:gridCol w:w="800"/>
        <w:gridCol w:w="121"/>
        <w:gridCol w:w="109"/>
        <w:gridCol w:w="109"/>
        <w:gridCol w:w="109"/>
        <w:gridCol w:w="325"/>
        <w:gridCol w:w="1112"/>
        <w:gridCol w:w="168"/>
        <w:gridCol w:w="109"/>
        <w:gridCol w:w="109"/>
        <w:gridCol w:w="109"/>
        <w:gridCol w:w="313"/>
        <w:gridCol w:w="1070"/>
        <w:gridCol w:w="161"/>
        <w:gridCol w:w="109"/>
        <w:gridCol w:w="109"/>
        <w:gridCol w:w="109"/>
        <w:gridCol w:w="261"/>
        <w:gridCol w:w="894"/>
        <w:gridCol w:w="135"/>
        <w:gridCol w:w="109"/>
        <w:gridCol w:w="109"/>
        <w:gridCol w:w="109"/>
        <w:gridCol w:w="233"/>
        <w:gridCol w:w="797"/>
        <w:gridCol w:w="170"/>
      </w:tblGrid>
      <w:tr>
        <w:trPr/>
        <w:tc>
          <w:tcPr>
            <w:tcW w:w="57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Adjusted Gross Margin </w:t>
            </w:r>
            <w:r>
              <w:rPr>
                <w:rFonts w:ascii="Times New Roman;serif" w:hAnsi="Times New Roman;serif"/>
                <w:b w:val="false"/>
                <w:color w:val="000000"/>
                <w:sz w:val="13"/>
              </w:rPr>
              <w:t>(1)</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Aftermarket services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24,223 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30,248 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95" w:type="dxa"/>
        <w:jc w:val="center"/>
        <w:tblInd w:w="0" w:type="dxa"/>
        <w:tblLayout w:type="fixed"/>
        <w:tblCellMar>
          <w:top w:w="28" w:type="dxa"/>
          <w:left w:w="28" w:type="dxa"/>
          <w:bottom w:w="28" w:type="dxa"/>
          <w:right w:w="28" w:type="dxa"/>
        </w:tblCellMar>
      </w:tblPr>
      <w:tblGrid>
        <w:gridCol w:w="575"/>
        <w:gridCol w:w="503"/>
        <w:gridCol w:w="511"/>
        <w:gridCol w:w="294"/>
        <w:gridCol w:w="291"/>
        <w:gridCol w:w="640"/>
        <w:gridCol w:w="109"/>
        <w:gridCol w:w="109"/>
        <w:gridCol w:w="109"/>
        <w:gridCol w:w="357"/>
        <w:gridCol w:w="357"/>
        <w:gridCol w:w="891"/>
        <w:gridCol w:w="109"/>
        <w:gridCol w:w="109"/>
        <w:gridCol w:w="109"/>
        <w:gridCol w:w="344"/>
        <w:gridCol w:w="344"/>
        <w:gridCol w:w="857"/>
        <w:gridCol w:w="109"/>
        <w:gridCol w:w="109"/>
        <w:gridCol w:w="109"/>
        <w:gridCol w:w="293"/>
        <w:gridCol w:w="293"/>
        <w:gridCol w:w="716"/>
        <w:gridCol w:w="109"/>
        <w:gridCol w:w="109"/>
        <w:gridCol w:w="109"/>
        <w:gridCol w:w="255"/>
        <w:gridCol w:w="256"/>
        <w:gridCol w:w="710"/>
      </w:tblGrid>
      <w:tr>
        <w:trPr/>
        <w:tc>
          <w:tcPr>
            <w:tcW w:w="57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Adjusted Gross Margin %</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Aftermarket services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907" w:type="dxa"/>
        <w:jc w:val="center"/>
        <w:tblInd w:w="0" w:type="dxa"/>
        <w:tblLayout w:type="fixed"/>
        <w:tblCellMar>
          <w:top w:w="28" w:type="dxa"/>
          <w:left w:w="28" w:type="dxa"/>
          <w:bottom w:w="28" w:type="dxa"/>
          <w:right w:w="28" w:type="dxa"/>
        </w:tblCellMar>
      </w:tblPr>
      <w:tblGrid>
        <w:gridCol w:w="646"/>
        <w:gridCol w:w="567"/>
        <w:gridCol w:w="571"/>
        <w:gridCol w:w="257"/>
        <w:gridCol w:w="257"/>
        <w:gridCol w:w="640"/>
        <w:gridCol w:w="109"/>
        <w:gridCol w:w="109"/>
        <w:gridCol w:w="109"/>
        <w:gridCol w:w="357"/>
        <w:gridCol w:w="357"/>
        <w:gridCol w:w="891"/>
        <w:gridCol w:w="109"/>
        <w:gridCol w:w="109"/>
        <w:gridCol w:w="109"/>
        <w:gridCol w:w="344"/>
        <w:gridCol w:w="344"/>
        <w:gridCol w:w="857"/>
        <w:gridCol w:w="109"/>
        <w:gridCol w:w="109"/>
        <w:gridCol w:w="109"/>
        <w:gridCol w:w="287"/>
        <w:gridCol w:w="287"/>
        <w:gridCol w:w="716"/>
        <w:gridCol w:w="109"/>
        <w:gridCol w:w="109"/>
        <w:gridCol w:w="109"/>
        <w:gridCol w:w="255"/>
        <w:gridCol w:w="256"/>
        <w:gridCol w:w="710"/>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Statistics (at end of period):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Horsepower Utilized</w:t>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669,919</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Horsepower</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758,526</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Horsepower Utilization</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Units Utilized</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Units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 Utilization</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20"/>
        <w:jc w:val="both"/>
        <w:rPr/>
      </w:pPr>
      <w:r>
        <w:rPr>
          <w:rFonts w:ascii="Times New Roman;serif" w:hAnsi="Times New Roman;serif"/>
          <w:b/>
          <w:color w:val="000000"/>
          <w:sz w:val="20"/>
        </w:rPr>
        <w:t>Non-GAAP Financial Measure - Adjusted Net income:</w:t>
      </w:r>
      <w:r>
        <w:rPr>
          <w:color w:val="000000"/>
        </w:rPr>
        <w:t xml:space="preserve"> “</w:t>
      </w:r>
      <w:r>
        <w:rPr>
          <w:rFonts w:ascii="Times New Roman;serif" w:hAnsi="Times New Roman;serif"/>
          <w:b w:val="false"/>
          <w:color w:val="000000"/>
          <w:sz w:val="20"/>
        </w:rPr>
        <w:t>Adjusted Net Income” is a non-GAAP financial measure that we define as net income (loss) adjusted for nonrecurring interest income attributable to income tax refunds, impairments, nonrecurring restructuring charges including severance and costs directly attributable to strategic transactions, including the Flatrock Acquisition, and income tax effects of these adjustments. We believe that Adjusted Net Income and Adjusted Net Income per share amounts provide meaningful supplemental information regarding our operational performance on a recurring basis.</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our net income and diluted earnings per share, the most directly comparable GAAP financial measure, to Adjusted Net Income and Adjusted Net Income per diluted share:</w:t>
      </w:r>
    </w:p>
    <w:tbl>
      <w:tblPr>
        <w:tblW w:w="10205" w:type="dxa"/>
        <w:jc w:val="left"/>
        <w:tblInd w:w="0" w:type="dxa"/>
        <w:tblLayout w:type="fixed"/>
        <w:tblCellMar>
          <w:top w:w="28" w:type="dxa"/>
          <w:left w:w="28" w:type="dxa"/>
          <w:bottom w:w="28" w:type="dxa"/>
          <w:right w:w="28" w:type="dxa"/>
        </w:tblCellMar>
      </w:tblPr>
      <w:tblGrid>
        <w:gridCol w:w="984"/>
        <w:gridCol w:w="863"/>
        <w:gridCol w:w="815"/>
        <w:gridCol w:w="246"/>
        <w:gridCol w:w="720"/>
        <w:gridCol w:w="127"/>
        <w:gridCol w:w="109"/>
        <w:gridCol w:w="109"/>
        <w:gridCol w:w="109"/>
        <w:gridCol w:w="321"/>
        <w:gridCol w:w="936"/>
        <w:gridCol w:w="165"/>
        <w:gridCol w:w="109"/>
        <w:gridCol w:w="109"/>
        <w:gridCol w:w="109"/>
        <w:gridCol w:w="310"/>
        <w:gridCol w:w="908"/>
        <w:gridCol w:w="160"/>
        <w:gridCol w:w="109"/>
        <w:gridCol w:w="109"/>
        <w:gridCol w:w="109"/>
        <w:gridCol w:w="269"/>
        <w:gridCol w:w="785"/>
        <w:gridCol w:w="138"/>
        <w:gridCol w:w="109"/>
        <w:gridCol w:w="109"/>
        <w:gridCol w:w="109"/>
        <w:gridCol w:w="245"/>
        <w:gridCol w:w="716"/>
        <w:gridCol w:w="189"/>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charges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adjustments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w:t>
            </w:r>
          </w:p>
        </w:tc>
        <w:tc>
          <w:tcPr>
            <w:tcW w:w="2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8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diluted share</w:t>
            </w:r>
          </w:p>
        </w:tc>
        <w:tc>
          <w:tcPr>
            <w:tcW w:w="2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6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6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3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60"/>
        <w:jc w:val="both"/>
        <w:rPr/>
      </w:pPr>
      <w:r>
        <w:rPr>
          <w:rFonts w:ascii="Times New Roman;serif" w:hAnsi="Times New Roman;serif"/>
          <w:b/>
          <w:color w:val="000000"/>
          <w:sz w:val="20"/>
        </w:rPr>
        <w:t>Non-GAAP Financial Measure - Adjusted Gross Margin:</w:t>
      </w:r>
      <w:r>
        <w:rPr>
          <w:color w:val="000000"/>
        </w:rPr>
        <w:t xml:space="preserve"> “</w:t>
      </w:r>
      <w:r>
        <w:rPr>
          <w:rFonts w:ascii="Times New Roman;serif" w:hAnsi="Times New Roman;serif"/>
          <w:b w:val="false"/>
          <w:color w:val="000000"/>
          <w:sz w:val="20"/>
        </w:rPr>
        <w:t>Adjusted Gross Margin” as defined by us is total revenue less costs of revenues (excluding depreciation and amortization expense). Adjusted Gross Margin is included as a supplemental disclosure because it is a primary measure used by our management as it represents the results of revenue and costs (excluding depreciation and amortization expense), which are key components of our operations. Adjusted Gross Margin differs from gross margin, in that gross margin includes depreciation and amortization expense. We believe Adjusted Gross Margin is important because it focuses on the current operating performance of our operations and excludes the impact of the prior historical costs of the assets acquired or constructed that are utilized in those operations. Depreciation and amortization expense does not accurately reflect the costs required to maintain and replenish the operational usage of our assets and therefore may not portray the costs from current operating activity. Rather, depreciation and amortization expense reflects the systematic allocation of historical property and equipment costs over their estimated useful lives.</w:t>
      </w:r>
    </w:p>
    <w:p>
      <w:pPr>
        <w:pStyle w:val="TextBody"/>
        <w:bidi w:val="0"/>
        <w:spacing w:lineRule="auto" w:line="268" w:before="0" w:after="60"/>
        <w:jc w:val="both"/>
        <w:rPr>
          <w:rFonts w:ascii="Times New Roman;serif" w:hAnsi="Times New Roman;serif"/>
          <w:b w:val="false"/>
          <w:color w:val="000000"/>
          <w:sz w:val="20"/>
        </w:rPr>
      </w:pPr>
      <w:r>
        <w:rPr>
          <w:rFonts w:ascii="Times New Roman;serif" w:hAnsi="Times New Roman;serif"/>
          <w:b w:val="false"/>
          <w:color w:val="000000"/>
          <w:sz w:val="20"/>
        </w:rPr>
        <w:t>Adjusted Gross Margin has certain material limitations associated with its use as compared to gross margin. These limitations are primarily due to the exclusion of depreciation and amortization expense, which is material to our results of operations. Because we use capital assets, depreciation and amortization expense is a necessary element of our costs and our ability to generate revenue. In order to compensate for these limitations, management uses this non-GAAP measure as a supplemental measure to other GAAP results to provide a more complete understanding of our performance. As an indicator of our operating performance, Adjusted Gross Margin should not be considered an alternative to, or more meaningful than, gross margin as determined in accordance with GAAP. Our Adjusted Gross Margin may not be comparable to a similarly titled measure of another company because other entities may not calculate Adjusted Gross Margin in the same manner.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calculates our gross margin, the most directly comparable GAAP financial measure, and reconciles it to Adjusted Gross Margin:</w:t>
      </w:r>
    </w:p>
    <w:tbl>
      <w:tblPr>
        <w:tblW w:w="10205" w:type="dxa"/>
        <w:jc w:val="center"/>
        <w:tblInd w:w="0" w:type="dxa"/>
        <w:tblLayout w:type="fixed"/>
        <w:tblCellMar>
          <w:top w:w="28" w:type="dxa"/>
          <w:left w:w="28" w:type="dxa"/>
          <w:bottom w:w="28" w:type="dxa"/>
          <w:right w:w="28" w:type="dxa"/>
        </w:tblCellMar>
      </w:tblPr>
      <w:tblGrid>
        <w:gridCol w:w="994"/>
        <w:gridCol w:w="864"/>
        <w:gridCol w:w="829"/>
        <w:gridCol w:w="225"/>
        <w:gridCol w:w="770"/>
        <w:gridCol w:w="116"/>
        <w:gridCol w:w="109"/>
        <w:gridCol w:w="109"/>
        <w:gridCol w:w="109"/>
        <w:gridCol w:w="281"/>
        <w:gridCol w:w="963"/>
        <w:gridCol w:w="145"/>
        <w:gridCol w:w="109"/>
        <w:gridCol w:w="109"/>
        <w:gridCol w:w="109"/>
        <w:gridCol w:w="274"/>
        <w:gridCol w:w="937"/>
        <w:gridCol w:w="141"/>
        <w:gridCol w:w="109"/>
        <w:gridCol w:w="109"/>
        <w:gridCol w:w="109"/>
        <w:gridCol w:w="242"/>
        <w:gridCol w:w="828"/>
        <w:gridCol w:w="125"/>
        <w:gridCol w:w="109"/>
        <w:gridCol w:w="109"/>
        <w:gridCol w:w="109"/>
        <w:gridCol w:w="224"/>
        <w:gridCol w:w="768"/>
        <w:gridCol w:w="171"/>
      </w:tblGrid>
      <w:tr>
        <w:trPr/>
        <w:tc>
          <w:tcPr>
            <w:tcW w:w="99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revenue, exclusive of depreciation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allocable to costs of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allocable to costs of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24,223 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30,248 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color w:val="000000"/>
          <w:sz w:val="20"/>
        </w:rPr>
        <w:t xml:space="preserve">Non-GAAP Financial Measures - Adjusted EBITDA: </w:t>
      </w:r>
      <w:r>
        <w:rPr>
          <w:color w:val="000000"/>
        </w:rPr>
        <w:t>“</w:t>
      </w:r>
      <w:r>
        <w:rPr>
          <w:rFonts w:ascii="Times New Roman;serif" w:hAnsi="Times New Roman;serif"/>
          <w:b w:val="false"/>
          <w:color w:val="000000"/>
          <w:sz w:val="20"/>
        </w:rPr>
        <w:t xml:space="preserve">Adjusted EBITDA” is a non-GAAP financial measure that we define as net income (loss) before interest, taxes, depreciation and amortization, as well as an increase in inventory allowance, impairments, retirement of rental equipment, nonrecurring restructuring charges including severance, costs directly attributable to strategic transactions, including the Flatrock Acquisition and non-cash equity-classified stock-based compensation expenses. This term, as used and defined by us, may not be comparable to similarly titled measures employed by other companies and is not a measure of performance calculated in accordance with GAAP. Adjusted EBITDA should not be considered in isolation or as a substitute for operating income, net income or loss, cash flows provided by operating, investing and financing activities, or other income or cash flow statement data prepared in accordance with GAAP. However, management believes Adjusted EBITDA is useful to an investor in evaluating our operating performance because: (i) it is widely used by investors in the energy industry to measure a company’s operating performance without regard to items excluded from the calculation of Adjusted EBITDA, which can vary substantially from company to company depending upon accounting methods and book value of assets, capital structure and the method by which assets were acquired, among other factors; (ii) it helps investors to more meaningfully evaluate and compare the results of our operations from period to period by removing the impact of our capital structure and asset base from our operating structure; and (iii) it is used by our management for various purposes, including as a measure of operating performance, in presentations to our Board of Directors, and as a basis for strategic planning and forecasting. </w:t>
      </w:r>
    </w:p>
    <w:p>
      <w:pPr>
        <w:pStyle w:val="TextBody"/>
        <w:bidi w:val="0"/>
        <w:spacing w:lineRule="auto" w:line="264" w:before="0" w:after="120"/>
        <w:jc w:val="both"/>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tool, and you should not consider it in isolation, or as a substitute for analysis of our results as reported under GAAP. Some of these limitations are as follows: (i) Adjusted EBITDA does not reflect all our cash expenditures, future requirements for capital expenditures, or contractual commitments; (ii) Adjusted EBITDA does not reflect changes in, or cash requirements for, our working capital needs; (iii) Adjusted EBITDA does not reflect the cash requirements necessary to service interest or principal payments on our debt and finance leases; and (iv) although depreciation and amortization are non-cash charges, the assets being depreciated and amortized will often have to be replaced in the future, and Adjusted EBITDA does not reflect any capital expenditures for such replacements.</w:t>
      </w:r>
    </w:p>
    <w:p>
      <w:pPr>
        <w:pStyle w:val="TextBody"/>
        <w:bidi w:val="0"/>
        <w:spacing w:lineRule="auto" w:line="264"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income, the most directly comparable GAAP financial measure, to Adjusted EBITDA:</w:t>
      </w:r>
    </w:p>
    <w:tbl>
      <w:tblPr>
        <w:tblW w:w="10205" w:type="dxa"/>
        <w:jc w:val="left"/>
        <w:tblInd w:w="0" w:type="dxa"/>
        <w:tblLayout w:type="fixed"/>
        <w:tblCellMar>
          <w:top w:w="28" w:type="dxa"/>
          <w:left w:w="28" w:type="dxa"/>
          <w:bottom w:w="28" w:type="dxa"/>
          <w:right w:w="28" w:type="dxa"/>
        </w:tblCellMar>
      </w:tblPr>
      <w:tblGrid>
        <w:gridCol w:w="991"/>
        <w:gridCol w:w="780"/>
        <w:gridCol w:w="763"/>
        <w:gridCol w:w="227"/>
        <w:gridCol w:w="777"/>
        <w:gridCol w:w="117"/>
        <w:gridCol w:w="109"/>
        <w:gridCol w:w="109"/>
        <w:gridCol w:w="109"/>
        <w:gridCol w:w="293"/>
        <w:gridCol w:w="1002"/>
        <w:gridCol w:w="151"/>
        <w:gridCol w:w="109"/>
        <w:gridCol w:w="109"/>
        <w:gridCol w:w="109"/>
        <w:gridCol w:w="284"/>
        <w:gridCol w:w="972"/>
        <w:gridCol w:w="146"/>
        <w:gridCol w:w="109"/>
        <w:gridCol w:w="109"/>
        <w:gridCol w:w="109"/>
        <w:gridCol w:w="247"/>
        <w:gridCol w:w="845"/>
        <w:gridCol w:w="127"/>
        <w:gridCol w:w="109"/>
        <w:gridCol w:w="109"/>
        <w:gridCol w:w="109"/>
        <w:gridCol w:w="226"/>
        <w:gridCol w:w="775"/>
        <w:gridCol w:w="174"/>
      </w:tblGrid>
      <w:tr>
        <w:trPr/>
        <w:tc>
          <w:tcPr>
            <w:tcW w:w="9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charges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21,172 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25,052 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Conference Call Details: </w:t>
      </w:r>
      <w:r>
        <w:rPr>
          <w:rFonts w:ascii="Times New Roman;serif" w:hAnsi="Times New Roman;serif"/>
          <w:b w:val="false"/>
          <w:color w:val="202020"/>
          <w:sz w:val="20"/>
        </w:rPr>
        <w:t xml:space="preserve">The Company will host a conference call to review its second-quarter results on Tuesday, August 11, 2026 at 8:30 a.m. (EST), 7:30 a.m. (CST). To join the conference call, kindly access the Investor Relations section of our website at </w:t>
      </w:r>
      <w:r>
        <w:rPr>
          <w:rFonts w:ascii="Times New Roman;serif" w:hAnsi="Times New Roman;serif"/>
          <w:b w:val="false"/>
          <w:color w:val="1359A5"/>
          <w:sz w:val="20"/>
        </w:rPr>
        <w:t>www.ngsgi.com</w:t>
      </w:r>
      <w:r>
        <w:rPr>
          <w:color w:val="202020"/>
        </w:rPr>
        <w:t xml:space="preserve"> </w:t>
      </w:r>
      <w:r>
        <w:rPr>
          <w:rFonts w:ascii="Times New Roman;serif" w:hAnsi="Times New Roman;serif"/>
          <w:b w:val="false"/>
          <w:color w:val="202020"/>
          <w:sz w:val="20"/>
        </w:rPr>
        <w:t>or dial in at (800) 550-9745 and enter conference ID 167298 at least five minutes prior to the scheduled start time. Please note that using the provided dial-in number is necessary for participation in the Q&amp;A portion of the call. A recording of the conference call will be made available on our Company's website following its conclusion. Thank you for your interest in our Company's updates.</w:t>
      </w:r>
    </w:p>
    <w:p>
      <w:pPr>
        <w:pStyle w:val="TextBody"/>
        <w:bidi w:val="0"/>
        <w:spacing w:lineRule="auto" w:line="276" w:before="0" w:after="0"/>
        <w:jc w:val="both"/>
        <w:rPr>
          <w:color w:val="000000"/>
          <w:shd w:fill="FFFFFF" w:val="clear"/>
        </w:rPr>
      </w:pPr>
      <w:r>
        <w:rPr>
          <w:color w:val="000000"/>
          <w:shd w:fill="FFFFFF" w:val="clear"/>
        </w:rPr>
        <w:t> </w:t>
      </w:r>
    </w:p>
    <w:p>
      <w:pPr>
        <w:pStyle w:val="TextBody"/>
        <w:bidi w:val="0"/>
        <w:spacing w:lineRule="auto" w:line="268" w:before="0" w:after="0"/>
        <w:jc w:val="both"/>
        <w:rPr/>
      </w:pPr>
      <w:r>
        <w:rPr>
          <w:rFonts w:ascii="Times New Roman;serif" w:hAnsi="Times New Roman;serif"/>
          <w:b/>
          <w:color w:val="000000"/>
          <w:sz w:val="20"/>
          <w:shd w:fill="FFFFFF" w:val="clear"/>
        </w:rPr>
        <w:t xml:space="preserve">About Natural Gas Services Group, Inc. (NGS): </w:t>
      </w:r>
      <w:r>
        <w:rPr>
          <w:rFonts w:ascii="Times New Roman;serif" w:hAnsi="Times New Roman;serif"/>
          <w:b w:val="false"/>
          <w:color w:val="000000"/>
          <w:sz w:val="20"/>
        </w:rPr>
        <w:t xml:space="preserve">Natural Gas Services Group is a leading provider of natural gas and electric compression equipment, technology and services to the energy industry. The Company rents, designs, installs, services and maintains natural gas and electric compressors for oil and natural gas production and processing facilities, generally using equipment from third-party fabricators and OEM suppliers along with limited in-house assembly. The Company is headquartered in Southlake, Texas, with administrative offices in Midland, Texas, an assembly facility located in Tulsa, Oklahoma, and service facilities located in major oil and natural gas producing basins in the U.S. Additional information can be found at </w:t>
      </w:r>
      <w:r>
        <w:rPr>
          <w:rFonts w:ascii="Times New Roman;serif" w:hAnsi="Times New Roman;serif"/>
          <w:b w:val="false"/>
          <w:color w:val="202020"/>
          <w:sz w:val="20"/>
        </w:rPr>
        <w:t>www.ngsgi.com</w:t>
      </w:r>
      <w:r>
        <w:rPr>
          <w:rFonts w:ascii="Times New Roman;serif" w:hAnsi="Times New Roman;serif"/>
          <w:b w:val="false"/>
          <w:color w:val="000000"/>
          <w:sz w:val="20"/>
        </w:rPr>
        <w:t>.</w:t>
      </w:r>
    </w:p>
    <w:p>
      <w:pPr>
        <w:pStyle w:val="TextBody"/>
        <w:bidi w:val="0"/>
        <w:spacing w:lineRule="auto" w:line="276" w:before="0" w:after="0"/>
        <w:jc w:val="both"/>
        <w:rPr>
          <w:color w:val="000000"/>
        </w:rPr>
      </w:pPr>
      <w:r>
        <w:rPr>
          <w:color w:val="000000"/>
        </w:rPr>
        <w:t>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60"/>
        <w:jc w:val="both"/>
        <w:rPr>
          <w:rFonts w:ascii="Times New Roman;serif" w:hAnsi="Times New Roman;serif"/>
          <w:b/>
          <w:color w:val="202020"/>
          <w:sz w:val="20"/>
        </w:rPr>
      </w:pPr>
      <w:r>
        <w:rPr>
          <w:rFonts w:ascii="Times New Roman;serif" w:hAnsi="Times New Roman;serif"/>
          <w:b/>
          <w:color w:val="202020"/>
          <w:sz w:val="20"/>
        </w:rPr>
        <w:t>Forward-Looking Statements</w:t>
      </w:r>
    </w:p>
    <w:p>
      <w:pPr>
        <w:pStyle w:val="TextBody"/>
        <w:bidi w:val="0"/>
        <w:spacing w:lineRule="auto" w:line="268" w:before="0" w:after="60"/>
        <w:jc w:val="both"/>
        <w:rPr>
          <w:rFonts w:ascii="Times New Roman;serif" w:hAnsi="Times New Roman;serif"/>
          <w:b w:val="false"/>
          <w:color w:val="1F1F1F"/>
          <w:sz w:val="20"/>
        </w:rPr>
      </w:pPr>
      <w:r>
        <w:rPr>
          <w:rFonts w:ascii="Times New Roman;serif" w:hAnsi="Times New Roman;serif"/>
          <w:b w:val="false"/>
          <w:color w:val="1F1F1F"/>
          <w:sz w:val="20"/>
        </w:rPr>
        <w:t xml:space="preserve">This Release contains forward-looking statements within the meaning of Section 27A of the Securities Act of 1933, as amended, and Section 21E of the Securities Exchange Act of 1934, as amended, and information pertaining to us, our industry and the oil and gas industry that is based on the beliefs of our management, as well as assumptions made by and information currently available to our management. All statements, other than statements of historical fact included in this Release regarding our strategy, future operations, financial position, estimated revenues and expenses, projected costs, prospects, plans and objectives of management are forward-looking statements. All statements, other than statements of historical facts contained in this Release, including statements regarding our future financial position, growth strategy, budgets, projected costs, plans and objectives of management for future operations, are forward-looking statements. We use the words “may,” “will,” “expect,” “anticipate,” “estimate,” “guidance,” “forecast,” “believe,” “might,” “continue,” “intend,” “plan,” “project,” “budget” and other similar words to identify forward-looking statements. </w:t>
      </w:r>
    </w:p>
    <w:p>
      <w:pPr>
        <w:pStyle w:val="TextBody"/>
        <w:bidi w:val="0"/>
        <w:spacing w:lineRule="auto" w:line="268" w:before="0" w:after="60"/>
        <w:jc w:val="both"/>
        <w:rPr/>
      </w:pPr>
      <w:r>
        <w:rPr>
          <w:rFonts w:ascii="Times New Roman;serif" w:hAnsi="Times New Roman;serif"/>
          <w:b w:val="false"/>
          <w:color w:val="202020"/>
          <w:sz w:val="20"/>
        </w:rPr>
        <w:t xml:space="preserve">These forward–looking statements rely on a number of assumptions concerning future events and are subject to a number of uncertainties and factors that could cause actual results to differ materially from such statements, many of which are outside the control of the Company. Forward–looking information includes, but is not limited to statements regarding: guidance or estimates related to Adjusted EBITDA growth, projected capital expenditures; returns on invested capital, fundamentals of the compression industry and related oil and gas industry, valuations, compressor demand assumptions and overall industry outlook, </w:t>
      </w:r>
      <w:r>
        <w:rPr>
          <w:rFonts w:ascii="Times New Roman;serif" w:hAnsi="Times New Roman;serif"/>
          <w:b w:val="false"/>
          <w:color w:val="1F1F1F"/>
          <w:sz w:val="20"/>
        </w:rPr>
        <w:t xml:space="preserve">the anticipated benefits of the Flatrock Acquisition, expected synergies from the acquisition, the expectation that the acquisition will be immediately and meaningfully accretive, </w:t>
      </w:r>
      <w:r>
        <w:rPr>
          <w:rFonts w:ascii="Times New Roman;serif" w:hAnsi="Times New Roman;serif"/>
          <w:b w:val="false"/>
          <w:color w:val="202020"/>
          <w:sz w:val="20"/>
        </w:rPr>
        <w:t xml:space="preserve">and the ability of the Company to capitalize on any potential opportunities. </w:t>
      </w:r>
    </w:p>
    <w:p>
      <w:pPr>
        <w:pStyle w:val="TextBody"/>
        <w:bidi w:val="0"/>
        <w:spacing w:lineRule="auto" w:line="268" w:before="0" w:after="60"/>
        <w:jc w:val="both"/>
        <w:rPr>
          <w:rFonts w:ascii="Times New Roman;serif" w:hAnsi="Times New Roman;serif"/>
          <w:b w:val="false"/>
          <w:color w:val="202020"/>
          <w:sz w:val="20"/>
        </w:rPr>
      </w:pPr>
      <w:r>
        <w:rPr>
          <w:rFonts w:ascii="Times New Roman;serif" w:hAnsi="Times New Roman;serif"/>
          <w:b w:val="false"/>
          <w:color w:val="202020"/>
          <w:sz w:val="20"/>
        </w:rPr>
        <w:t xml:space="preserve">While the Company believes that the assumptions concerning future events are reasonable, investors are cautioned that there are inherent difficulties in predicting certain important factors that could impact the future performance or results of its business. Some of these factors that could cause results to differ materially from those indicated by such forward-looking statements include, but are not limited to: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conditions in the oil and gas industry, including the supply and demand for oil and gas and volatility in the prices of oil and gas;</w:t>
      </w:r>
    </w:p>
    <w:p>
      <w:pPr>
        <w:pStyle w:val="TextBody"/>
        <w:bidi w:val="0"/>
        <w:spacing w:lineRule="auto" w:line="268" w:before="0" w:after="0"/>
        <w:ind w:left="0" w:right="0" w:hanging="360"/>
        <w:jc w:val="both"/>
        <w:rPr/>
      </w:pPr>
      <w:r>
        <w:rPr>
          <w:color w:val="202020"/>
        </w:rPr>
        <w:t>•</w:t>
      </w:r>
      <w:r>
        <w:rPr>
          <w:rFonts w:ascii="Times New Roman;serif" w:hAnsi="Times New Roman;serif"/>
          <w:b w:val="false"/>
          <w:color w:val="000000"/>
          <w:sz w:val="20"/>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our reliance on major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failure of projected organic growth due to adverse changes in the oil and gas industry, including depressed oil and gas prices, oppressive environmental regulations and competition;</w:t>
      </w:r>
    </w:p>
    <w:p>
      <w:pPr>
        <w:pStyle w:val="TextBody"/>
        <w:bidi w:val="0"/>
        <w:spacing w:lineRule="auto" w:line="268" w:before="0" w:after="0"/>
        <w:ind w:left="0" w:right="0" w:hanging="360"/>
        <w:jc w:val="both"/>
        <w:rPr/>
      </w:pPr>
      <w:r>
        <w:rPr>
          <w:color w:val="202020"/>
        </w:rPr>
        <w:t>•</w:t>
      </w:r>
      <w:r>
        <w:rPr>
          <w:rFonts w:ascii="Times New Roman;serif" w:hAnsi="Times New Roman;serif"/>
          <w:b w:val="false"/>
          <w:color w:val="202020"/>
          <w:sz w:val="20"/>
        </w:rPr>
        <w:t>integration of the Flatrock Acquisition with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our inability to achieve increased utilization of assets, including rental fleet utilization and monetizing other non-cash balance sheet assets;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failure of our customers to continue to rent equipment after expiration of the primary rental term;</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our ability to economically develop and deploy new technologies and services, including technology to comply with health and environmental laws and regulations;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failure to achieve accretive financial results in connection with any acquisitions we may make;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fluctuations in interest rates;</w:t>
      </w:r>
    </w:p>
    <w:p>
      <w:pPr>
        <w:pStyle w:val="TextBody"/>
        <w:bidi w:val="0"/>
        <w:spacing w:lineRule="auto" w:line="268" w:before="0" w:after="0"/>
        <w:ind w:left="0" w:right="0" w:hanging="360"/>
        <w:jc w:val="both"/>
        <w:rPr/>
      </w:pPr>
      <w:r>
        <w:rPr>
          <w:color w:val="202020"/>
        </w:rPr>
        <w:t>•</w:t>
      </w:r>
      <w:r>
        <w:rPr>
          <w:rFonts w:ascii="Times New Roman;serif" w:hAnsi="Times New Roman;serif"/>
          <w:b w:val="false"/>
          <w:color w:val="000000"/>
          <w:sz w:val="20"/>
        </w:rPr>
        <w:t>our ability to make dividends, distributions and share repurchases;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changes in regulation or prohibition of new or current well completion techniques;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competition among the various providers of compression services and products;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changes in safety, health and environmental regulations;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changes in economic or political conditions in the markets in which we operate;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the inherent risks associated with our operations, such as equipment defects, malfunctions, natural disasters and adverse changes in customer, employee and supplier relationships;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our inability to comply with covenants in our debt agreements and the decreased financial flexibility associated with our debt;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inability to finance our future capital requirements and availability of financing;</w:t>
      </w:r>
    </w:p>
    <w:p>
      <w:pPr>
        <w:pStyle w:val="TextBody"/>
        <w:bidi w:val="0"/>
        <w:spacing w:lineRule="auto" w:line="268" w:before="0" w:after="0"/>
        <w:ind w:left="0" w:right="0" w:hanging="360"/>
        <w:jc w:val="both"/>
        <w:rPr/>
      </w:pPr>
      <w:r>
        <w:rPr>
          <w:color w:val="202020"/>
        </w:rPr>
        <w:t>•</w:t>
      </w:r>
      <w:r>
        <w:rPr>
          <w:rFonts w:ascii="Times New Roman;serif" w:hAnsi="Times New Roman;serif"/>
          <w:b w:val="false"/>
          <w:color w:val="000000"/>
          <w:sz w:val="20"/>
        </w:rPr>
        <w:t>cybersecurity threats, including increased use of artificial intelligence and other emerging technologies;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02020"/>
          <w:sz w:val="20"/>
        </w:rPr>
        <w:t>capacity availability, costs and performance of our outsourced compressor fabrication providers and overall inflationary pressures;</w:t>
      </w:r>
    </w:p>
    <w:p>
      <w:pPr>
        <w:pStyle w:val="TextBody"/>
        <w:bidi w:val="0"/>
        <w:spacing w:lineRule="auto" w:line="268" w:before="0" w:after="0"/>
        <w:ind w:left="0" w:right="0" w:hanging="360"/>
        <w:jc w:val="both"/>
        <w:rPr/>
      </w:pPr>
      <w:r>
        <w:rPr>
          <w:color w:val="202020"/>
        </w:rPr>
        <w:t>•</w:t>
      </w:r>
      <w:r>
        <w:rPr>
          <w:rFonts w:ascii="Times New Roman;serif" w:hAnsi="Times New Roman;serif"/>
          <w:b w:val="false"/>
          <w:color w:val="000000"/>
          <w:sz w:val="20"/>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pStyle w:val="TextBody"/>
        <w:bidi w:val="0"/>
        <w:spacing w:lineRule="auto" w:line="268" w:before="0" w:after="60"/>
        <w:ind w:left="0" w:right="0" w:hanging="360"/>
        <w:jc w:val="both"/>
        <w:rPr/>
      </w:pPr>
      <w:r>
        <w:rPr>
          <w:color w:val="000000"/>
        </w:rPr>
        <w:t>•</w:t>
      </w:r>
      <w:r>
        <w:rPr>
          <w:rFonts w:ascii="Times New Roman;serif" w:hAnsi="Times New Roman;serif"/>
          <w:b w:val="false"/>
          <w:color w:val="202020"/>
          <w:sz w:val="20"/>
        </w:rPr>
        <w:t>general economic conditions.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202020"/>
          <w:sz w:val="20"/>
        </w:rPr>
        <w:t xml:space="preserve">In addition, these forward-looking statements are subject to other various risks and uncertainties, including without limitation those set forth in the Company’s filings with the Securities and Exchange Commission, including the Company's Annual Report on Form 10-K for the year ended December 31, 2025, </w:t>
      </w:r>
      <w:r>
        <w:rPr>
          <w:rFonts w:ascii="Times New Roman;serif" w:hAnsi="Times New Roman;serif"/>
          <w:b w:val="false"/>
          <w:color w:val="1F1F1F"/>
          <w:sz w:val="20"/>
        </w:rPr>
        <w:t>and its Quarterly Report on Form 10-Q for the quarter ended June 30, 2026</w:t>
      </w:r>
      <w:r>
        <w:rPr>
          <w:rFonts w:ascii="Times New Roman;serif" w:hAnsi="Times New Roman;serif"/>
          <w:b w:val="false"/>
          <w:color w:val="202020"/>
          <w:sz w:val="20"/>
        </w:rPr>
        <w:t>. Thus, actual results could be materially different. The Company expressly disclaims any obligation to update or alter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More Information, Contact: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Glenn Wiener, Investor Relations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(432) 262-2700</w:t>
      </w:r>
    </w:p>
    <w:p>
      <w:pPr>
        <w:pStyle w:val="TextBody"/>
        <w:bidi w:val="0"/>
        <w:spacing w:lineRule="auto" w:line="268" w:before="0" w:after="0"/>
        <w:jc w:val="left"/>
        <w:rPr>
          <w:rFonts w:ascii="Times New Roman;serif" w:hAnsi="Times New Roman;serif"/>
          <w:b w:val="false"/>
          <w:color w:val="0000FF"/>
          <w:sz w:val="20"/>
        </w:rPr>
      </w:pPr>
      <w:r>
        <w:rPr>
          <w:rFonts w:ascii="Times New Roman;serif" w:hAnsi="Times New Roman;serif"/>
          <w:b w:val="false"/>
          <w:color w:val="0000FF"/>
          <w:sz w:val="20"/>
        </w:rPr>
        <w:t>IR@ngsgi.com</w:t>
      </w:r>
    </w:p>
    <w:p>
      <w:pPr>
        <w:pStyle w:val="TextBody"/>
        <w:bidi w:val="0"/>
        <w:spacing w:lineRule="auto" w:line="276" w:before="0" w:after="0"/>
        <w:jc w:val="left"/>
        <w:rPr>
          <w:rFonts w:ascii="Times New Roman;serif" w:hAnsi="Times New Roman;serif"/>
          <w:b w:val="false"/>
          <w:color w:val="0000FF"/>
          <w:sz w:val="20"/>
        </w:rPr>
      </w:pPr>
      <w:r>
        <w:rPr>
          <w:rFonts w:ascii="Times New Roman;serif" w:hAnsi="Times New Roman;serif"/>
          <w:b w:val="false"/>
          <w:color w:val="0000FF"/>
          <w:sz w:val="20"/>
        </w:rPr>
        <w:t>www.ngsgi.com</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28"/>
        <w:gridCol w:w="1971"/>
        <w:gridCol w:w="1972"/>
        <w:gridCol w:w="295"/>
        <w:gridCol w:w="1157"/>
        <w:gridCol w:w="152"/>
        <w:gridCol w:w="152"/>
        <w:gridCol w:w="152"/>
        <w:gridCol w:w="152"/>
        <w:gridCol w:w="295"/>
        <w:gridCol w:w="1157"/>
        <w:gridCol w:w="222"/>
      </w:tblGrid>
      <w:tr>
        <w:trPr/>
        <w:tc>
          <w:tcPr>
            <w:tcW w:w="252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20"/>
              </w:rPr>
              <w:t>NATURAL GAS SERVICES GROUP,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par value)</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4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ASSETS</w:t>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provision for credit losses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 of allowance for obsolescence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prepayments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65,650 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net of allowance for obsolescence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 net of accumulated depreciation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718,343 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586,786 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423,857 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312,070 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30,000 shares authorized, par value $0.01; 14,207 and 13,883 shares issued, respectively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 1,310 shares for each of the periods presented, respectively</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294,486 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274,716 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718,343 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586,786 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09"/>
        <w:gridCol w:w="1476"/>
        <w:gridCol w:w="1489"/>
        <w:gridCol w:w="225"/>
        <w:gridCol w:w="769"/>
        <w:gridCol w:w="115"/>
        <w:gridCol w:w="115"/>
        <w:gridCol w:w="115"/>
        <w:gridCol w:w="115"/>
        <w:gridCol w:w="225"/>
        <w:gridCol w:w="769"/>
        <w:gridCol w:w="115"/>
        <w:gridCol w:w="115"/>
        <w:gridCol w:w="115"/>
        <w:gridCol w:w="115"/>
        <w:gridCol w:w="225"/>
        <w:gridCol w:w="769"/>
        <w:gridCol w:w="115"/>
        <w:gridCol w:w="115"/>
        <w:gridCol w:w="115"/>
        <w:gridCol w:w="115"/>
        <w:gridCol w:w="225"/>
        <w:gridCol w:w="769"/>
        <w:gridCol w:w="175"/>
      </w:tblGrid>
      <w:tr>
        <w:trPr/>
        <w:tc>
          <w:tcPr>
            <w:tcW w:w="17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earnings per share)</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 (excluding depreciation and amortization):</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 (excluding depreciation and amortization)</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2"/>
        <w:gridCol w:w="1481"/>
        <w:gridCol w:w="1484"/>
        <w:gridCol w:w="222"/>
        <w:gridCol w:w="705"/>
        <w:gridCol w:w="115"/>
        <w:gridCol w:w="115"/>
        <w:gridCol w:w="115"/>
        <w:gridCol w:w="115"/>
        <w:gridCol w:w="222"/>
        <w:gridCol w:w="650"/>
        <w:gridCol w:w="115"/>
        <w:gridCol w:w="115"/>
        <w:gridCol w:w="115"/>
        <w:gridCol w:w="115"/>
        <w:gridCol w:w="222"/>
        <w:gridCol w:w="816"/>
        <w:gridCol w:w="115"/>
        <w:gridCol w:w="115"/>
        <w:gridCol w:w="115"/>
        <w:gridCol w:w="115"/>
        <w:gridCol w:w="222"/>
        <w:gridCol w:w="761"/>
        <w:gridCol w:w="168"/>
      </w:tblGrid>
      <w:tr>
        <w:trPr/>
        <w:tc>
          <w:tcPr>
            <w:tcW w:w="187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NATURAL GAS SERVICES GROUP, INC.</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CONDENSED CONSOLIDATED STATEMENTS OF CASH FLOWS</w:t>
            </w:r>
          </w:p>
          <w:p>
            <w:pPr>
              <w:pStyle w:val="TableContents"/>
              <w:bidi w:val="0"/>
              <w:spacing w:lineRule="auto" w:line="240" w:before="0" w:after="0"/>
              <w:jc w:val="center"/>
              <w:rPr>
                <w:rFonts w:ascii="Times New Roman;serif" w:hAnsi="Times New Roman;serif"/>
                <w:b w:val="false"/>
                <w:i/>
                <w:color w:val="000000"/>
                <w:sz w:val="19"/>
              </w:rPr>
            </w:pPr>
            <w:r>
              <w:rPr>
                <w:rFonts w:ascii="Times New Roman;serif" w:hAnsi="Times New Roman;serif"/>
                <w:b w:val="false"/>
                <w:i/>
                <w:color w:val="000000"/>
                <w:sz w:val="19"/>
              </w:rPr>
              <w:t>(in thousands)</w:t>
            </w:r>
          </w:p>
          <w:p>
            <w:pPr>
              <w:pStyle w:val="TableContents"/>
              <w:bidi w:val="0"/>
              <w:spacing w:lineRule="auto" w:line="240" w:before="0" w:after="0"/>
              <w:jc w:val="center"/>
              <w:rPr>
                <w:rFonts w:ascii="Times New Roman;serif" w:hAnsi="Times New Roman;serif"/>
                <w:b w:val="false"/>
                <w:i/>
                <w:color w:val="000000"/>
                <w:sz w:val="19"/>
              </w:rPr>
            </w:pPr>
            <w:r>
              <w:rPr>
                <w:rFonts w:ascii="Times New Roman;serif" w:hAnsi="Times New Roman;serif"/>
                <w:b w:val="false"/>
                <w:i/>
                <w:color w:val="000000"/>
                <w:sz w:val="19"/>
              </w:rPr>
              <w:t>(unaudited)</w:t>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June 30,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June 30, </w:t>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Adjustments to reconcile net income to net cash provided by operating activities: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allowance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Retirement of rental equipment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the disposition of assets, net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loss on company owned life insurance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Changes in operating assets and liabilities: </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receivables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income taxes receivable and prepayments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OPERATING ACTIVITIES</w:t>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25,432 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48,467 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32,263 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rental equipment, property and other equipment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(45,065)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net of cash acquired</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(108,680)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(108,680)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received from insurance for damages to equipment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disposition of assets, net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(127,466)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(25,706)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(142,676)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(44,962)</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credit facility borrowings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credit facility borrowings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debt issuance costs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exercise of stock options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dividends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related to net share settlement of equity awards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FINANCING ACTIVITIES</w:t>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99,807 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94,293 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10,882 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CHANGE IN CASH AND CASH EQUIVALENTS</w:t>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(1,817)</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BEGINNING OF PERIOD</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END OF PERIOD</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paid</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paid, net of refunds received</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DISCLOSURES OF NON-CASH TRANSACTIONS: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Transfer of property and equipment to assets held for sale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purchases of property and equipment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an operating lease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connection with acquisition</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to settle liability-classified awards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5461</Words>
  <Characters>30561</Characters>
  <CharactersWithSpaces>35458</CharactersWithSpaces>
  <Paragraphs>1134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