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FORM 8-K/A</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(Amendment No. 1)</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June 12,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center"/>
        <w:rPr/>
      </w:pPr>
      <w:r>
        <w:rPr>
          <w:rFonts w:ascii="Times New Roman;serif" w:hAnsi="Times New Roman;serif"/>
          <w:b/>
          <w:color w:val="000000"/>
          <w:sz w:val="32"/>
        </w:rPr>
        <w:t>NATURAL GAS SERVICES GROUP, INC</w:t>
      </w:r>
      <w:r>
        <w:rPr>
          <w:rFonts w:ascii="Times New Roman;serif" w:hAnsi="Times New Roman;serif"/>
          <w:b/>
          <w:color w:val="000000"/>
          <w:sz w:val="36"/>
        </w:rPr>
        <w: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bl>
      <w:tblPr>
        <w:tblW w:w="8138" w:type="dxa"/>
        <w:jc w:val="center"/>
        <w:tblInd w:w="0" w:type="dxa"/>
        <w:tblLayout w:type="fixed"/>
        <w:tblCellMar>
          <w:top w:w="28" w:type="dxa"/>
          <w:left w:w="28" w:type="dxa"/>
          <w:bottom w:w="28" w:type="dxa"/>
          <w:right w:w="28" w:type="dxa"/>
        </w:tblCellMar>
      </w:tblPr>
      <w:tblGrid>
        <w:gridCol w:w="828"/>
        <w:gridCol w:w="731"/>
        <w:gridCol w:w="736"/>
        <w:gridCol w:w="109"/>
        <w:gridCol w:w="109"/>
        <w:gridCol w:w="109"/>
        <w:gridCol w:w="762"/>
        <w:gridCol w:w="762"/>
        <w:gridCol w:w="770"/>
        <w:gridCol w:w="109"/>
        <w:gridCol w:w="109"/>
        <w:gridCol w:w="109"/>
        <w:gridCol w:w="845"/>
        <w:gridCol w:w="845"/>
        <w:gridCol w:w="1205"/>
      </w:tblGrid>
      <w:tr>
        <w:trPr/>
        <w:tc>
          <w:tcPr>
            <w:tcW w:w="82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1-31398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75-2811855</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40" w:after="4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417" w:before="40" w:after="283"/>
        <w:jc w:val="center"/>
        <w:rPr>
          <w:rFonts w:ascii="Times New Roman;serif" w:hAnsi="Times New Roman;serif"/>
          <w:b/>
          <w:color w:val="000000"/>
          <w:sz w:val="20"/>
        </w:rPr>
      </w:pPr>
      <w:r>
        <w:rPr>
          <w:rFonts w:ascii="Times New Roman;serif" w:hAnsi="Times New Roman;serif"/>
          <w:b/>
          <w:color w:val="000000"/>
          <w:sz w:val="20"/>
        </w:rPr>
        <w:t>601 State Street, Suite 400</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Southlake, TX 76092</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(432) 262-2700</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60"/>
        <w:jc w:val="both"/>
        <w:rPr/>
      </w:pPr>
      <w:r>
        <w:rPr/>
      </w:r>
    </w:p>
    <w:p>
      <w:pPr>
        <w:pStyle w:val="TextBody"/>
        <w:bidi w:val="0"/>
        <w:spacing w:lineRule="auto" w:line="288" w:before="0" w:after="60"/>
        <w:jc w:val="both"/>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 xml:space="preserve">see </w:t>
      </w:r>
      <w:r>
        <w:rPr>
          <w:rFonts w:ascii="Times New Roman;serif" w:hAnsi="Times New Roman;serif"/>
          <w:b w:val="false"/>
          <w:color w:val="000000"/>
          <w:sz w:val="20"/>
        </w:rPr>
        <w:t>General Instruction A.2. below):</w:t>
      </w:r>
    </w:p>
    <w:p>
      <w:pPr>
        <w:pStyle w:val="TextBody"/>
        <w:bidi w:val="0"/>
        <w:spacing w:before="0" w:after="60"/>
        <w:jc w:val="both"/>
        <w:rPr/>
      </w:pPr>
      <w:r>
        <w:rPr/>
      </w:r>
    </w:p>
    <w:p>
      <w:pPr>
        <w:pStyle w:val="TextBody"/>
        <w:bidi w:val="0"/>
        <w:spacing w:lineRule="auto" w:line="288" w:before="0" w:after="60"/>
        <w:ind w:left="0" w:right="0" w:firstLine="720"/>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60"/>
        <w:ind w:left="0" w:right="0" w:firstLine="720"/>
        <w:jc w:val="left"/>
        <w:rPr/>
      </w:pPr>
      <w:r>
        <w:rPr/>
      </w:r>
    </w:p>
    <w:p>
      <w:pPr>
        <w:pStyle w:val="TextBody"/>
        <w:bidi w:val="0"/>
        <w:spacing w:lineRule="auto" w:line="288" w:before="0" w:after="60"/>
        <w:ind w:left="0" w:right="0" w:firstLine="720"/>
        <w:jc w:val="left"/>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60"/>
        <w:jc w:val="left"/>
        <w:rPr/>
      </w:pPr>
      <w:r>
        <w:rPr/>
      </w:r>
    </w:p>
    <w:p>
      <w:pPr>
        <w:pStyle w:val="TextBody"/>
        <w:bidi w:val="0"/>
        <w:spacing w:lineRule="auto" w:line="288" w:before="0" w:after="60"/>
        <w:ind w:left="0" w:right="0" w:firstLine="720"/>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60"/>
        <w:jc w:val="left"/>
        <w:rPr/>
      </w:pPr>
      <w:r>
        <w:rPr/>
      </w:r>
    </w:p>
    <w:p>
      <w:pPr>
        <w:pStyle w:val="TextBody"/>
        <w:bidi w:val="0"/>
        <w:spacing w:lineRule="auto" w:line="288" w:before="0" w:after="60"/>
        <w:ind w:left="0" w:right="0" w:firstLine="720"/>
        <w:jc w:val="left"/>
        <w:rPr>
          <w:color w:val="000000"/>
        </w:rPr>
      </w:pPr>
      <w:r>
        <w:rPr>
          <w:color w:val="000000"/>
        </w:rPr>
        <w:t xml:space="preserve">☐ </w:t>
      </w:r>
      <w:r>
        <w:rPr>
          <w:rFonts w:ascii="Times New Roman;serif" w:hAnsi="Times New Roman;serif"/>
          <w:b w:val="false"/>
          <w:color w:val="000000"/>
          <w:sz w:val="20"/>
        </w:rPr>
        <w:t>Pre-commencement communications pursuant to Rule 13e-4(c) under the Exchange Act (17 CFR 240.13e-14(c)).</w:t>
      </w:r>
    </w:p>
    <w:tbl>
      <w:tblPr>
        <w:tblW w:w="8636" w:type="dxa"/>
        <w:jc w:val="left"/>
        <w:tblInd w:w="0" w:type="dxa"/>
        <w:tblLayout w:type="fixed"/>
        <w:tblCellMar>
          <w:top w:w="28" w:type="dxa"/>
          <w:left w:w="28" w:type="dxa"/>
          <w:bottom w:w="28" w:type="dxa"/>
          <w:right w:w="28" w:type="dxa"/>
        </w:tblCellMar>
      </w:tblPr>
      <w:tblGrid>
        <w:gridCol w:w="897"/>
        <w:gridCol w:w="789"/>
        <w:gridCol w:w="789"/>
        <w:gridCol w:w="272"/>
        <w:gridCol w:w="272"/>
        <w:gridCol w:w="272"/>
        <w:gridCol w:w="420"/>
        <w:gridCol w:w="420"/>
        <w:gridCol w:w="420"/>
        <w:gridCol w:w="272"/>
        <w:gridCol w:w="272"/>
        <w:gridCol w:w="272"/>
        <w:gridCol w:w="958"/>
        <w:gridCol w:w="958"/>
        <w:gridCol w:w="1353"/>
      </w:tblGrid>
      <w:tr>
        <w:trPr/>
        <w:tc>
          <w:tcPr>
            <w:tcW w:w="89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8636"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24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$0.01</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NGS</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NYSE</w:t>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firstLine="720"/>
        <w:jc w:val="left"/>
        <w:rPr/>
      </w:pPr>
      <w:r>
        <w:rPr/>
      </w:r>
    </w:p>
    <w:p>
      <w:pPr>
        <w:pStyle w:val="TextBody"/>
        <w:bidi w:val="0"/>
        <w:spacing w:before="0" w:after="60"/>
        <w:ind w:left="0" w:right="0" w:firstLine="72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212121"/>
          <w:sz w:val="20"/>
          <w:shd w:fill="FFFFFF" w:val="clear"/>
        </w:rPr>
      </w:pPr>
      <w:r>
        <w:rPr>
          <w:rFonts w:ascii="Times New Roman;serif" w:hAnsi="Times New Roman;serif"/>
          <w:b/>
          <w:color w:val="212121"/>
          <w:sz w:val="20"/>
          <w:shd w:fill="FFFFFF" w:val="clear"/>
        </w:rPr>
        <w:t>Explanatory Note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12, 2026, Natural Gas Services Group, Inc. (the “Company”), executed and closed a Securities Purchase Agreement (the “Purchase Agreement”) with Flatrock Compression Holdings LLC, a Delaware limited liability company (“Flatrock”), the holders of all of the membership interests of Flatrock (each, a “Seller” and, collectively, the “Sellers”), and Mule Deer Sky LLC, a Texas limited liability company, solely in its capacity as the Sellers Representative under the Purchase Agreement (the “Sellers Representative”) whereby the Company acquired all of the issued and outstanding membership interests of Flatrock (the “Flatrock Acquisition”), as previously disclosed on a Current Report on Form 8-K filed by the Company with the Securities and Exchange Commission on June 15, 2026 (the “Original Form 8-K”).</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Amendment No. 1 to the Original Form 8-K (the “Amendment”) is being filed to provide the financial statements and pro forma financial information required by Item 9.01 of Form 8-K.</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Except as described above, no other modifications to the Original Form 8-K are being made by this Amendment. This Amendment should be read in conjunction with the Original Form 8-K, which provides a more complete description of the Flatrock Acquisition.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pro forma financial information included as Exhibit 99.3 to this Amendment has been presented for illustrative purposes only, as required by Form 8-K, and is not intended to, and does not purport to, represent what the combined Company’s actual results or financial condition would have been if the Flatrock Acquisition had occurred on the relevant date, and is not intended to project the future results or financial condition that the combined company may achieve following the Flatrock Acquisition.</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(a)    Financial Statements of Business Acquired.</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Audited consolidated financial statements of Flatrock as of and for the year ended December 31, 2025, attached hereto as Exhibit 99.1,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Unaudited condensed financial statements of Flatrock as of and for the three months ended March 31, 2026, attached hereto as Exhibit 99.2.</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(b)    Pro Forma Financial Information.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Unaudited pro forma condensed combined financial information of the Company as of and for the three months ended March 31, 2026, and for the year ended December 31, 2025, giving effect to the Flatrock Acquisition, attached hereto as Exhibit 99.3.</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(c)         Exhibits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exhibits are included with this Current Report on Form 8-K:</w:t>
      </w:r>
    </w:p>
    <w:tbl>
      <w:tblPr>
        <w:tblW w:w="10205" w:type="dxa"/>
        <w:jc w:val="center"/>
        <w:tblInd w:w="0" w:type="dxa"/>
        <w:tblLayout w:type="fixed"/>
        <w:tblCellMar>
          <w:top w:w="28" w:type="dxa"/>
          <w:left w:w="28" w:type="dxa"/>
          <w:bottom w:w="28" w:type="dxa"/>
          <w:right w:w="28" w:type="dxa"/>
        </w:tblCellMar>
      </w:tblPr>
      <w:tblGrid>
        <w:gridCol w:w="329"/>
        <w:gridCol w:w="289"/>
        <w:gridCol w:w="292"/>
        <w:gridCol w:w="2717"/>
        <w:gridCol w:w="2717"/>
        <w:gridCol w:w="3861"/>
      </w:tblGrid>
      <w:tr>
        <w:trPr/>
        <w:tc>
          <w:tcPr>
            <w:tcW w:w="32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717" w:type="dxa"/>
            <w:tcBorders/>
            <w:vAlign w:val="center"/>
          </w:tcPr>
          <w:p>
            <w:pPr>
              <w:pStyle w:val="TableContents"/>
              <w:bidi w:val="0"/>
              <w:spacing w:before="0" w:after="283"/>
              <w:jc w:val="left"/>
              <w:rPr>
                <w:sz w:val="4"/>
                <w:szCs w:val="4"/>
              </w:rPr>
            </w:pPr>
            <w:r>
              <w:rPr>
                <w:sz w:val="4"/>
                <w:szCs w:val="4"/>
              </w:rPr>
            </w:r>
          </w:p>
        </w:tc>
        <w:tc>
          <w:tcPr>
            <w:tcW w:w="2717" w:type="dxa"/>
            <w:tcBorders/>
            <w:vAlign w:val="center"/>
          </w:tcPr>
          <w:p>
            <w:pPr>
              <w:pStyle w:val="TableContents"/>
              <w:bidi w:val="0"/>
              <w:spacing w:before="0" w:after="283"/>
              <w:jc w:val="left"/>
              <w:rPr>
                <w:sz w:val="4"/>
                <w:szCs w:val="4"/>
              </w:rPr>
            </w:pPr>
            <w:r>
              <w:rPr>
                <w:sz w:val="4"/>
                <w:szCs w:val="4"/>
              </w:rPr>
            </w:r>
          </w:p>
        </w:tc>
        <w:tc>
          <w:tcPr>
            <w:tcW w:w="3861" w:type="dxa"/>
            <w:tcBorders/>
            <w:vAlign w:val="center"/>
          </w:tcPr>
          <w:p>
            <w:pPr>
              <w:pStyle w:val="TableContents"/>
              <w:bidi w:val="0"/>
              <w:spacing w:before="0" w:after="283"/>
              <w:jc w:val="left"/>
              <w:rPr>
                <w:sz w:val="4"/>
                <w:szCs w:val="4"/>
              </w:rPr>
            </w:pPr>
            <w:r>
              <w:rPr>
                <w:sz w:val="4"/>
                <w:szCs w:val="4"/>
              </w:rPr>
            </w:r>
          </w:p>
        </w:tc>
      </w:tr>
      <w:tr>
        <w:trPr/>
        <w:tc>
          <w:tcPr>
            <w:tcW w:w="91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929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91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hyperlink w:anchor="ex231crconsent.htm">
              <w:r>
                <w:rPr>
                  <w:rStyle w:val="InternetLink"/>
                  <w:rFonts w:ascii="Times New Roman;serif" w:hAnsi="Times New Roman;serif"/>
                  <w:b w:val="false"/>
                  <w:color w:val="000000"/>
                  <w:sz w:val="20"/>
                </w:rPr>
                <w:t>23.1</w:t>
              </w:r>
            </w:hyperlink>
          </w:p>
        </w:tc>
        <w:tc>
          <w:tcPr>
            <w:tcW w:w="929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Consent of CohnReznick LLP.</w:t>
            </w:r>
          </w:p>
        </w:tc>
      </w:tr>
      <w:tr>
        <w:trPr/>
        <w:tc>
          <w:tcPr>
            <w:tcW w:w="91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hyperlink w:anchor="ex991flatrockholdingsllc20.htm">
              <w:r>
                <w:rPr>
                  <w:rStyle w:val="InternetLink"/>
                  <w:rFonts w:ascii="Times New Roman;serif" w:hAnsi="Times New Roman;serif"/>
                  <w:b w:val="false"/>
                  <w:color w:val="000000"/>
                  <w:sz w:val="20"/>
                </w:rPr>
                <w:t>99.1</w:t>
              </w:r>
            </w:hyperlink>
          </w:p>
        </w:tc>
        <w:tc>
          <w:tcPr>
            <w:tcW w:w="929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Audited Consolidated Financial Statements of Flatrock Compression Holdings, LLC as of and for the year ended December 31, 2025.</w:t>
            </w:r>
          </w:p>
        </w:tc>
      </w:tr>
      <w:tr>
        <w:trPr/>
        <w:tc>
          <w:tcPr>
            <w:tcW w:w="91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hyperlink w:anchor="ex992flatrockholdingsllc1q.htm">
              <w:r>
                <w:rPr>
                  <w:rStyle w:val="InternetLink"/>
                  <w:rFonts w:ascii="Times New Roman;serif" w:hAnsi="Times New Roman;serif"/>
                  <w:b w:val="false"/>
                  <w:color w:val="000000"/>
                  <w:sz w:val="20"/>
                </w:rPr>
                <w:t>99.2</w:t>
              </w:r>
            </w:hyperlink>
          </w:p>
        </w:tc>
        <w:tc>
          <w:tcPr>
            <w:tcW w:w="929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Unaudited Condensed Consolidated Financial Statements of Flatrock Compression Holdings, LLC as of and for the three months ended March 31, 2026.</w:t>
            </w:r>
          </w:p>
        </w:tc>
      </w:tr>
      <w:tr>
        <w:trPr/>
        <w:tc>
          <w:tcPr>
            <w:tcW w:w="91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hyperlink w:anchor="ex993proformafinancialstat.htm">
              <w:r>
                <w:rPr>
                  <w:rStyle w:val="InternetLink"/>
                  <w:rFonts w:ascii="Times New Roman;serif" w:hAnsi="Times New Roman;serif"/>
                  <w:b w:val="false"/>
                  <w:color w:val="000000"/>
                  <w:sz w:val="20"/>
                </w:rPr>
                <w:t>99.3</w:t>
              </w:r>
            </w:hyperlink>
          </w:p>
        </w:tc>
        <w:tc>
          <w:tcPr>
            <w:tcW w:w="929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Unaudited Pro Forma Condensed Combined Financial Information of Natural Gas Services group, Inc. as of and for the three months ended March 31, 2026 and for the year ended December 31, 2025.</w:t>
            </w:r>
          </w:p>
        </w:tc>
      </w:tr>
      <w:tr>
        <w:trPr/>
        <w:tc>
          <w:tcPr>
            <w:tcW w:w="91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29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7199" w:type="dxa"/>
        <w:jc w:val="center"/>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398"/>
        <w:gridCol w:w="398"/>
        <w:gridCol w:w="398"/>
        <w:gridCol w:w="398"/>
        <w:gridCol w:w="398"/>
        <w:gridCol w:w="398"/>
        <w:gridCol w:w="725"/>
        <w:gridCol w:w="725"/>
        <w:gridCol w:w="102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3"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NATURAL GAS SERVICES GROUP,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Justin C. Jacobs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Justin C. Jacobs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Exhibit 23.1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Consent of Independent Auditors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the Registration Statements on Form S-3 (File No. 333-283794) and on Form S-8 (File Nos. 333-232269, 333-212411, 333-160063, 333-147311, 333-110954, 333-266100 and 333-288367) of Natural Gas Services Group, Inc. of our audit report dated August 10, 2026, with respect to the consolidated financial statements of Flatrock Compression Holdings, LLC for the year ended December 31, 2025 included in this Form 8-K/A.</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 CohnReznick LLP</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Houston, Texas </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August 10, 2026</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r>
        <w:rPr>
          <w:rFonts w:ascii="Times New Roman;serif" w:hAnsi="Times New Roman;serif"/>
          <w:b/>
          <w:color w:val="000000"/>
          <w:sz w:val="20"/>
        </w:rPr>
        <w:t>Exhibit 99.1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3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FLATROCK COMPRESSION HOLDINGS, LLC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As of and for the Year Ended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December 31, 2025</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3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color w:val="000000"/>
        </w:rPr>
      </w:pPr>
      <w:r>
        <w:rPr>
          <w:color w:val="000000"/>
        </w:rPr>
        <w:t>        </w:t>
      </w:r>
      <w:r>
        <w:rPr>
          <w:rFonts w:ascii="Times New Roman;serif" w:hAnsi="Times New Roman;serif"/>
          <w:b/>
          <w:color w:val="000000"/>
          <w:sz w:val="20"/>
        </w:rPr>
        <w:t>Exhibit 99.1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FLATROCK COMPRESSION HOLDINGS, LLC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TO CONSOLIDATED FINANCIAL STATEMENTS</w:t>
      </w:r>
    </w:p>
    <w:p>
      <w:pPr>
        <w:pStyle w:val="TextBody"/>
        <w:bidi w:val="0"/>
        <w:spacing w:lineRule="auto" w:line="288" w:before="0" w:after="0"/>
        <w:jc w:val="center"/>
        <w:rPr>
          <w:color w:val="000000"/>
        </w:rPr>
      </w:pPr>
      <w:r>
        <w:rPr>
          <w:color w:val="000000"/>
        </w:rPr>
        <w:t>  </w:t>
      </w:r>
    </w:p>
    <w:tbl>
      <w:tblPr>
        <w:tblW w:w="7486" w:type="dxa"/>
        <w:jc w:val="center"/>
        <w:tblInd w:w="0" w:type="dxa"/>
        <w:tblLayout w:type="fixed"/>
        <w:tblCellMar>
          <w:top w:w="28" w:type="dxa"/>
          <w:left w:w="28" w:type="dxa"/>
          <w:bottom w:w="28" w:type="dxa"/>
          <w:right w:w="28" w:type="dxa"/>
        </w:tblCellMar>
      </w:tblPr>
      <w:tblGrid>
        <w:gridCol w:w="2503"/>
        <w:gridCol w:w="2200"/>
        <w:gridCol w:w="2212"/>
        <w:gridCol w:w="167"/>
        <w:gridCol w:w="167"/>
        <w:gridCol w:w="237"/>
      </w:tblGrid>
      <w:tr>
        <w:trPr/>
        <w:tc>
          <w:tcPr>
            <w:tcW w:w="2503"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Independent Auditor’s Report</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Balance Sheet as of December 31, 2025</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 of Operations for the Year Ended December 31, 2025</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 of Members’ Equity for the Year Ended December 31, 2025</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 of Cash Flows for the Year Ended December 31, 2025</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Description of Business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 Summary of Significant Accounting Policies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 Trade Accounts Receivables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 Inventory</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 Property and Equipment</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 Goodwill</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 Intangible Assets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 Leases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 Supplemental Balance Sheet Disclosures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Line of Credit</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 Commitments and Contingencies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 Members’ Equity</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 Employee Retirement Plan</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 Subsequent Events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color w:val="000000"/>
        </w:rPr>
      </w:pPr>
      <w:r>
        <w:rPr>
          <w:color w:val="000000"/>
        </w:rPr>
        <w:t>        </w:t>
      </w:r>
      <w:r>
        <w:rPr>
          <w:rFonts w:ascii="Times New Roman;serif" w:hAnsi="Times New Roman;serif"/>
          <w:b/>
          <w:color w:val="000000"/>
          <w:sz w:val="20"/>
        </w:rPr>
        <w:t>Exhibit 99.1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Independent Auditor’s Report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Members of Flatrock Compression Holdings, LLC</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Houston, Texas</w:t>
      </w:r>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Opinion</w:t>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We have audited the consolidated financial statements of Flatrock Compression Holdings, LLC, (the “Company”) which comprise the consolidated balance sheet as of December 31, 2025, and the related consolidated statements of income, changes in members’ equity, and cash flows for the year then ended, and the related notes to the consolidated financial statements (collectively, the “consolidated financial statements”).</w:t>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In our opinion, the accompanying consolidated financial statements present fairly, in all material respects, the financial position of Flatrock Compression Holdings, LLC, as of December 31, 2025, and the results of its operations and its cash flows for the year then ended in accordance with accounting principles generally accepted in the United States of America.</w:t>
      </w:r>
    </w:p>
    <w:p>
      <w:pPr>
        <w:pStyle w:val="TextBody"/>
        <w:bidi w:val="0"/>
        <w:spacing w:lineRule="auto" w:line="288" w:before="0" w:after="6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 We believe that the audit evidence we have obtained is sufficient and appropriate to provide a basis for our audit opinion.</w:t>
      </w:r>
    </w:p>
    <w:p>
      <w:pPr>
        <w:pStyle w:val="TextBody"/>
        <w:bidi w:val="0"/>
        <w:spacing w:lineRule="auto" w:line="288" w:before="0" w:after="60"/>
        <w:jc w:val="both"/>
        <w:rPr>
          <w:rFonts w:ascii="Times New Roman;serif" w:hAnsi="Times New Roman;serif"/>
          <w:b/>
          <w:color w:val="000000"/>
          <w:sz w:val="20"/>
        </w:rPr>
      </w:pPr>
      <w:r>
        <w:rPr>
          <w:rFonts w:ascii="Times New Roman;serif" w:hAnsi="Times New Roman;serif"/>
          <w:b/>
          <w:color w:val="000000"/>
          <w:sz w:val="20"/>
        </w:rPr>
        <w:t>Responsibilities of Management for the Financial Statements</w:t>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Management is responsible for the preparation and fair presentation of the consolidated financial statements in accordance with accounting principles generally accepted in the United States of America, and for the design, implementation, and maintenance of internal control relevant to the preparation and fair presentation of the consolidated financial statements that are free from material misstatement, whether due to fraud or error.</w:t>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In preparing the consolidated financial statements, management is required to evaluate whether there are conditions or events, considered in the aggregate, that raise substantial doubt about Flatrock Compression Holdings, LLC’s ability to continue as a going concern for one year after the date that the consolidated financial statements are available to be issued.</w:t>
      </w:r>
    </w:p>
    <w:p>
      <w:pPr>
        <w:pStyle w:val="TextBody"/>
        <w:bidi w:val="0"/>
        <w:spacing w:lineRule="auto" w:line="288" w:before="0" w:after="60"/>
        <w:jc w:val="both"/>
        <w:rPr>
          <w:rFonts w:ascii="Times New Roman;serif" w:hAnsi="Times New Roman;serif"/>
          <w:b/>
          <w:color w:val="000000"/>
          <w:sz w:val="20"/>
        </w:rPr>
      </w:pPr>
      <w:r>
        <w:rPr>
          <w:rFonts w:ascii="Times New Roman;serif" w:hAnsi="Times New Roman;serif"/>
          <w:b/>
          <w:color w:val="000000"/>
          <w:sz w:val="20"/>
        </w:rPr>
        <w:t>Auditor’s Responsibilities for the Audit of the Financial Statements</w:t>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In performing an audit in accordance with GAAS, we:</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Exercise professional judgment and maintain professional skepticism throughout the audit.</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Obtain an understanding of internal control relevant to the audit in order to design audit procedures that are appropriate in the circumstances, but not for the purpose of expressing an opinion on the effectiveness of Flatrock Compression Holdings, LLC’s internal control. Accordingly, no such opinion is expressed.</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Evaluate the appropriateness of accounting policies used and the reasonableness of significant accounting estimates made by management, as well as evaluate the overall presentation of the financial statements.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Conclude whether, in our judgment, there are conditions or events, considered in the aggregate, that raise substantial doubt about Flatrock Compression Holdings, LLC’s ability to continue as a going concern for a reasonable period of time.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are required to communicate with those charged with governance regarding, among other matters, the planned scope and timing of the audit, significant audit findings, and certain internal control–related matters that we identified during the audit.</w:t>
      </w:r>
    </w:p>
    <w:p>
      <w:pPr>
        <w:pStyle w:val="TextBody"/>
        <w:bidi w:val="0"/>
        <w:spacing w:lineRule="auto" w:line="288" w:before="0" w:after="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 CohnReznick LLP</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Houston, Texas</w:t>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August </w:t>
      </w:r>
      <w:r>
        <w:rPr>
          <w:rFonts w:ascii="Times New Roman;serif" w:hAnsi="Times New Roman;serif"/>
          <w:b w:val="false"/>
          <w:color w:val="000000"/>
          <w:sz w:val="20"/>
        </w:rPr>
        <w:t>10,</w:t>
      </w:r>
      <w:r>
        <w:rPr>
          <w:color w:val="000000"/>
          <w:shd w:fill="FFFFFF" w:val="clear"/>
        </w:rPr>
        <w:t xml:space="preserve"> </w:t>
      </w:r>
      <w:r>
        <w:rPr>
          <w:rFonts w:ascii="Times New Roman;serif" w:hAnsi="Times New Roman;serif"/>
          <w:b w:val="false"/>
          <w:color w:val="000000"/>
          <w:sz w:val="20"/>
          <w:shd w:fill="FFFFFF" w:val="clear"/>
        </w:rPr>
        <w:t>2026</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color w:val="000000"/>
        </w:rPr>
      </w:pPr>
      <w:r>
        <w:rPr>
          <w:color w:val="000000"/>
        </w:rPr>
        <w:t>        </w:t>
      </w:r>
      <w:r>
        <w:rPr>
          <w:rFonts w:ascii="Times New Roman;serif" w:hAnsi="Times New Roman;serif"/>
          <w:b/>
          <w:color w:val="000000"/>
          <w:sz w:val="20"/>
        </w:rPr>
        <w:t>Exhibit 99.1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455" w:type="dxa"/>
        <w:jc w:val="left"/>
        <w:tblInd w:w="0" w:type="dxa"/>
        <w:tblLayout w:type="fixed"/>
        <w:tblCellMar>
          <w:top w:w="28" w:type="dxa"/>
          <w:left w:w="28" w:type="dxa"/>
          <w:bottom w:w="28" w:type="dxa"/>
          <w:right w:w="28" w:type="dxa"/>
        </w:tblCellMar>
      </w:tblPr>
      <w:tblGrid>
        <w:gridCol w:w="1783"/>
        <w:gridCol w:w="1568"/>
        <w:gridCol w:w="1568"/>
        <w:gridCol w:w="879"/>
        <w:gridCol w:w="3005"/>
        <w:gridCol w:w="652"/>
      </w:tblGrid>
      <w:tr>
        <w:trPr/>
        <w:tc>
          <w:tcPr>
            <w:tcW w:w="1783"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3005"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r>
      <w:tr>
        <w:trPr/>
        <w:tc>
          <w:tcPr>
            <w:tcW w:w="9455"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FLATROCK COMPRESSION HOLDINGS, LLC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CONSOLIDATED BALANCE SHEET AS OF DECEMBER 31, 2025</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ableContents"/>
              <w:bidi w:val="0"/>
              <w:spacing w:before="0" w:after="0"/>
              <w:jc w:val="center"/>
              <w:rPr/>
            </w:pPr>
            <w:r>
              <w:rPr/>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ASSETS</w:t>
            </w:r>
          </w:p>
        </w:tc>
        <w:tc>
          <w:tcPr>
            <w:tcW w:w="4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4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 net of provision for credit losses</w:t>
            </w:r>
          </w:p>
        </w:tc>
        <w:tc>
          <w:tcPr>
            <w:tcW w:w="3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4,063 </w:t>
            </w:r>
          </w:p>
        </w:tc>
        <w:tc>
          <w:tcPr>
            <w:tcW w:w="6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net of allowance for obsolescence</w:t>
            </w:r>
          </w:p>
        </w:tc>
        <w:tc>
          <w:tcPr>
            <w:tcW w:w="3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6,559 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3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6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8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11,387 </w:t>
            </w:r>
          </w:p>
        </w:tc>
        <w:tc>
          <w:tcPr>
            <w:tcW w:w="6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 of accumulated depreciation</w:t>
            </w:r>
          </w:p>
        </w:tc>
        <w:tc>
          <w:tcPr>
            <w:tcW w:w="3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55,147 </w:t>
            </w:r>
          </w:p>
        </w:tc>
        <w:tc>
          <w:tcPr>
            <w:tcW w:w="6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 of accumulated amortization</w:t>
            </w:r>
          </w:p>
        </w:tc>
        <w:tc>
          <w:tcPr>
            <w:tcW w:w="3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4,054 </w:t>
            </w:r>
          </w:p>
        </w:tc>
        <w:tc>
          <w:tcPr>
            <w:tcW w:w="6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8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74,770 </w:t>
            </w:r>
          </w:p>
        </w:tc>
        <w:tc>
          <w:tcPr>
            <w:tcW w:w="6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MEMBERS’ EQUITY</w:t>
            </w:r>
          </w:p>
        </w:tc>
        <w:tc>
          <w:tcPr>
            <w:tcW w:w="45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4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2,281 </w:t>
            </w:r>
          </w:p>
        </w:tc>
        <w:tc>
          <w:tcPr>
            <w:tcW w:w="6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Line of credit</w:t>
            </w:r>
          </w:p>
        </w:tc>
        <w:tc>
          <w:tcPr>
            <w:tcW w:w="3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41,752 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8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45,199 </w:t>
            </w:r>
          </w:p>
        </w:tc>
        <w:tc>
          <w:tcPr>
            <w:tcW w:w="6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8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45,870 </w:t>
            </w:r>
          </w:p>
        </w:tc>
        <w:tc>
          <w:tcPr>
            <w:tcW w:w="6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11)</w:t>
            </w:r>
          </w:p>
        </w:tc>
        <w:tc>
          <w:tcPr>
            <w:tcW w:w="4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Members’ Equity</w:t>
            </w:r>
          </w:p>
        </w:tc>
        <w:tc>
          <w:tcPr>
            <w:tcW w:w="3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28,900 </w:t>
            </w:r>
          </w:p>
        </w:tc>
        <w:tc>
          <w:tcPr>
            <w:tcW w:w="6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members’ equity</w:t>
            </w:r>
          </w:p>
        </w:tc>
        <w:tc>
          <w:tcPr>
            <w:tcW w:w="8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74,770 </w:t>
            </w:r>
          </w:p>
        </w:tc>
        <w:tc>
          <w:tcPr>
            <w:tcW w:w="6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color w:val="000000"/>
        </w:rPr>
      </w:pPr>
      <w:r>
        <w:rPr>
          <w:color w:val="000000"/>
        </w:rPr>
        <w:t>        </w:t>
      </w:r>
      <w:r>
        <w:rPr>
          <w:rFonts w:ascii="Times New Roman;serif" w:hAnsi="Times New Roman;serif"/>
          <w:b/>
          <w:color w:val="000000"/>
          <w:sz w:val="20"/>
        </w:rPr>
        <w:t>Exhibit 99.1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72"/>
        <w:gridCol w:w="1406"/>
        <w:gridCol w:w="1369"/>
        <w:gridCol w:w="1116"/>
        <w:gridCol w:w="3814"/>
        <w:gridCol w:w="828"/>
      </w:tblGrid>
      <w:tr>
        <w:trPr/>
        <w:tc>
          <w:tcPr>
            <w:tcW w:w="1672"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3814"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FLATROCK COMPRESSION HOLDINGS, LLC</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 OF OPERATIONS FOR THE YEAR ENDED DECEMBER 31, 2025</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4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5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w:t>
            </w:r>
          </w:p>
        </w:tc>
        <w:tc>
          <w:tcPr>
            <w:tcW w:w="11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32,226 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and parts</w:t>
            </w:r>
          </w:p>
        </w:tc>
        <w:tc>
          <w:tcPr>
            <w:tcW w:w="4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6,593 </w:t>
            </w:r>
          </w:p>
        </w:tc>
        <w:tc>
          <w:tcPr>
            <w:tcW w:w="8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49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38,819 </w:t>
            </w:r>
          </w:p>
        </w:tc>
        <w:tc>
          <w:tcPr>
            <w:tcW w:w="8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revenues (excluding depreciation and amortization)</w:t>
            </w:r>
          </w:p>
        </w:tc>
        <w:tc>
          <w:tcPr>
            <w:tcW w:w="4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16,297 </w:t>
            </w:r>
          </w:p>
        </w:tc>
        <w:tc>
          <w:tcPr>
            <w:tcW w:w="8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4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5,958 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4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10,771 </w:t>
            </w:r>
          </w:p>
        </w:tc>
        <w:tc>
          <w:tcPr>
            <w:tcW w:w="8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disposition of assets, net</w:t>
            </w:r>
          </w:p>
        </w:tc>
        <w:tc>
          <w:tcPr>
            <w:tcW w:w="4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49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32,900 </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49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5,919 </w:t>
            </w:r>
          </w:p>
        </w:tc>
        <w:tc>
          <w:tcPr>
            <w:tcW w:w="8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expense:</w:t>
            </w:r>
          </w:p>
        </w:tc>
        <w:tc>
          <w:tcPr>
            <w:tcW w:w="5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4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4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8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49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(3,338)</w:t>
            </w:r>
          </w:p>
        </w:tc>
        <w:tc>
          <w:tcPr>
            <w:tcW w:w="8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49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2,581 </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4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1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2,453 </w:t>
            </w:r>
          </w:p>
        </w:tc>
        <w:tc>
          <w:tcPr>
            <w:tcW w:w="8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right"/>
        <w:rPr>
          <w:color w:val="000000"/>
        </w:rPr>
      </w:pPr>
      <w:r>
        <w:rPr>
          <w:color w:val="000000"/>
        </w:rPr>
        <w:t>        </w:t>
      </w:r>
      <w:r>
        <w:rPr>
          <w:rFonts w:ascii="Times New Roman;serif" w:hAnsi="Times New Roman;serif"/>
          <w:b/>
          <w:color w:val="000000"/>
          <w:sz w:val="20"/>
        </w:rPr>
        <w:t>Exhibit 99.1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9388" w:type="dxa"/>
        <w:jc w:val="left"/>
        <w:tblInd w:w="0" w:type="dxa"/>
        <w:tblLayout w:type="fixed"/>
        <w:tblCellMar>
          <w:top w:w="28" w:type="dxa"/>
          <w:left w:w="28" w:type="dxa"/>
          <w:bottom w:w="28" w:type="dxa"/>
          <w:right w:w="28" w:type="dxa"/>
        </w:tblCellMar>
      </w:tblPr>
      <w:tblGrid>
        <w:gridCol w:w="810"/>
        <w:gridCol w:w="712"/>
        <w:gridCol w:w="712"/>
        <w:gridCol w:w="1387"/>
        <w:gridCol w:w="4739"/>
        <w:gridCol w:w="1028"/>
      </w:tblGrid>
      <w:tr>
        <w:trPr/>
        <w:tc>
          <w:tcPr>
            <w:tcW w:w="81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4739"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9388"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FLATROCK COMPRESSION HOLDINGS, LLC</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 OF MEMBERS' EQUITY FOR THE YEAR ENDED DECEMBER 31, 2025</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2025</w:t>
            </w:r>
          </w:p>
        </w:tc>
        <w:tc>
          <w:tcPr>
            <w:tcW w:w="1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31,310 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Membership units issued</w:t>
            </w:r>
          </w:p>
        </w:tc>
        <w:tc>
          <w:tcPr>
            <w:tcW w:w="6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members</w:t>
            </w:r>
          </w:p>
        </w:tc>
        <w:tc>
          <w:tcPr>
            <w:tcW w:w="6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(4,884)</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2,453 </w:t>
            </w:r>
          </w:p>
        </w:tc>
        <w:tc>
          <w:tcPr>
            <w:tcW w:w="10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13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28,900 </w:t>
            </w:r>
          </w:p>
        </w:tc>
        <w:tc>
          <w:tcPr>
            <w:tcW w:w="10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color w:val="000000"/>
        </w:rPr>
      </w:pPr>
      <w:r>
        <w:rPr>
          <w:color w:val="000000"/>
        </w:rPr>
        <w:t>        </w:t>
      </w:r>
      <w:r>
        <w:rPr>
          <w:rFonts w:ascii="Times New Roman;serif" w:hAnsi="Times New Roman;serif"/>
          <w:b/>
          <w:color w:val="000000"/>
          <w:sz w:val="20"/>
        </w:rPr>
        <w:t>Exhibit 99.1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18"/>
        <w:gridCol w:w="1620"/>
        <w:gridCol w:w="1562"/>
        <w:gridCol w:w="1052"/>
        <w:gridCol w:w="3074"/>
        <w:gridCol w:w="779"/>
      </w:tblGrid>
      <w:tr>
        <w:trPr/>
        <w:tc>
          <w:tcPr>
            <w:tcW w:w="2118"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307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FLATROCK COMPRESSION HOLDINGS, LLC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CONSOLIDATED STATEMENT OF CASH FLOWS FOR THE YEAR ENDED DECEMBER 31, 2025</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5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4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Adjustments to reconcile net income to net cash provided by operating activities:</w:t>
            </w:r>
          </w:p>
        </w:tc>
        <w:tc>
          <w:tcPr>
            <w:tcW w:w="4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4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10,771 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the disposition of assets, net</w:t>
            </w:r>
          </w:p>
        </w:tc>
        <w:tc>
          <w:tcPr>
            <w:tcW w:w="4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7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4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4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7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4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Changes in operating assets and liabilities: </w:t>
            </w:r>
          </w:p>
        </w:tc>
        <w:tc>
          <w:tcPr>
            <w:tcW w:w="4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receivables</w:t>
            </w:r>
          </w:p>
        </w:tc>
        <w:tc>
          <w:tcPr>
            <w:tcW w:w="4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4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7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4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4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w:t>
            </w:r>
          </w:p>
        </w:tc>
        <w:tc>
          <w:tcPr>
            <w:tcW w:w="7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4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10,113 </w:t>
            </w:r>
          </w:p>
        </w:tc>
        <w:tc>
          <w:tcPr>
            <w:tcW w:w="7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49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4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(16,762)</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disposition of assets, net</w:t>
            </w:r>
          </w:p>
        </w:tc>
        <w:tc>
          <w:tcPr>
            <w:tcW w:w="4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7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4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(16,561)</w:t>
            </w:r>
          </w:p>
        </w:tc>
        <w:tc>
          <w:tcPr>
            <w:tcW w:w="7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49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line of credit</w:t>
            </w:r>
          </w:p>
        </w:tc>
        <w:tc>
          <w:tcPr>
            <w:tcW w:w="4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52,196 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line of credit</w:t>
            </w:r>
          </w:p>
        </w:tc>
        <w:tc>
          <w:tcPr>
            <w:tcW w:w="4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(40,847)</w:t>
            </w:r>
          </w:p>
        </w:tc>
        <w:tc>
          <w:tcPr>
            <w:tcW w:w="7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other long term liabilities</w:t>
            </w:r>
          </w:p>
        </w:tc>
        <w:tc>
          <w:tcPr>
            <w:tcW w:w="4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members</w:t>
            </w:r>
          </w:p>
        </w:tc>
        <w:tc>
          <w:tcPr>
            <w:tcW w:w="4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(4,884)</w:t>
            </w:r>
          </w:p>
        </w:tc>
        <w:tc>
          <w:tcPr>
            <w:tcW w:w="7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membership units issued</w:t>
            </w:r>
          </w:p>
        </w:tc>
        <w:tc>
          <w:tcPr>
            <w:tcW w:w="4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FINANCING ACTIVITIES</w:t>
            </w:r>
          </w:p>
        </w:tc>
        <w:tc>
          <w:tcPr>
            <w:tcW w:w="41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6,256 </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CHANGE IN CASH AND CASH EQUIVALENTS</w:t>
            </w:r>
          </w:p>
        </w:tc>
        <w:tc>
          <w:tcPr>
            <w:tcW w:w="4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7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BEGINNING OF PERIOD</w:t>
            </w:r>
          </w:p>
        </w:tc>
        <w:tc>
          <w:tcPr>
            <w:tcW w:w="4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7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END OF PERIOD</w:t>
            </w:r>
          </w:p>
        </w:tc>
        <w:tc>
          <w:tcPr>
            <w:tcW w:w="10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7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49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10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w:t>
            </w:r>
          </w:p>
        </w:tc>
        <w:tc>
          <w:tcPr>
            <w:tcW w:w="10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7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NON-CASH TRANSACTIONS:</w:t>
            </w:r>
          </w:p>
        </w:tc>
        <w:tc>
          <w:tcPr>
            <w:tcW w:w="4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assets acquired through a finance lease</w:t>
            </w:r>
          </w:p>
        </w:tc>
        <w:tc>
          <w:tcPr>
            <w:tcW w:w="10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7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right"/>
        <w:rPr>
          <w:color w:val="000000"/>
        </w:rPr>
      </w:pPr>
      <w:r>
        <w:rPr>
          <w:color w:val="000000"/>
        </w:rPr>
        <w:t>        </w:t>
      </w:r>
      <w:r>
        <w:rPr>
          <w:rFonts w:ascii="Times New Roman;serif" w:hAnsi="Times New Roman;serif"/>
          <w:b/>
          <w:color w:val="000000"/>
          <w:sz w:val="20"/>
        </w:rPr>
        <w:t>Exhibit 99.1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9419" w:type="dxa"/>
        <w:jc w:val="left"/>
        <w:tblInd w:w="0" w:type="dxa"/>
        <w:tblLayout w:type="fixed"/>
        <w:tblCellMar>
          <w:top w:w="28" w:type="dxa"/>
          <w:left w:w="28" w:type="dxa"/>
          <w:bottom w:w="28" w:type="dxa"/>
          <w:right w:w="28" w:type="dxa"/>
        </w:tblCellMar>
      </w:tblPr>
      <w:tblGrid>
        <w:gridCol w:w="3018"/>
        <w:gridCol w:w="2652"/>
        <w:gridCol w:w="3749"/>
      </w:tblGrid>
      <w:tr>
        <w:trPr/>
        <w:tc>
          <w:tcPr>
            <w:tcW w:w="3018"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c>
          <w:tcPr>
            <w:tcW w:w="3749" w:type="dxa"/>
            <w:tcBorders/>
            <w:vAlign w:val="center"/>
          </w:tcPr>
          <w:p>
            <w:pPr>
              <w:pStyle w:val="TableContents"/>
              <w:bidi w:val="0"/>
              <w:spacing w:before="0" w:after="283"/>
              <w:jc w:val="left"/>
              <w:rPr>
                <w:sz w:val="4"/>
                <w:szCs w:val="4"/>
              </w:rPr>
            </w:pPr>
            <w:r>
              <w:rPr>
                <w:sz w:val="4"/>
                <w:szCs w:val="4"/>
              </w:rPr>
            </w:r>
          </w:p>
        </w:tc>
      </w:tr>
      <w:tr>
        <w:trPr/>
        <w:tc>
          <w:tcPr>
            <w:tcW w:w="94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FLATROCK COMPRESSION HOLDINGS, LLC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FOR THE YEAR ENDED DECEMBER 31, 2025</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1.    Description of Business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Flatrock Compression Holdings, LLC (the “Company,” “Flatrock” “we,” “us” or “our”, a Delaware limited liability company), was formed on March 5, 2024, for the purpose of holding the assets and liabilities acquired through a business combination which was effective as of April 1, 2024. The business combination consisted of the acquisition of all of the outstanding equity securities of the below entities (collectively, the “Acquired Companies”).</w:t>
      </w:r>
    </w:p>
    <w:p>
      <w:pPr>
        <w:pStyle w:val="TextBody"/>
        <w:bidi w:val="0"/>
        <w:spacing w:lineRule="auto" w:line="288" w:before="0" w:after="0"/>
        <w:jc w:val="both"/>
        <w:rPr/>
      </w:pPr>
      <w:r>
        <w:rPr>
          <w:color w:val="000000"/>
        </w:rPr>
        <w:t>•</w:t>
      </w:r>
      <w:r>
        <w:rPr>
          <w:rFonts w:ascii="Times New Roman;serif" w:hAnsi="Times New Roman;serif"/>
          <w:b w:val="false"/>
          <w:color w:val="000000"/>
          <w:sz w:val="20"/>
        </w:rPr>
        <w:t>Flatrock Compression, Ltd., a Texas limited partnership</w:t>
      </w:r>
    </w:p>
    <w:p>
      <w:pPr>
        <w:pStyle w:val="TextBody"/>
        <w:bidi w:val="0"/>
        <w:spacing w:lineRule="auto" w:line="288" w:before="0" w:after="0"/>
        <w:jc w:val="both"/>
        <w:rPr/>
      </w:pPr>
      <w:r>
        <w:rPr>
          <w:color w:val="000000"/>
        </w:rPr>
        <w:t>•</w:t>
      </w:r>
      <w:r>
        <w:rPr>
          <w:rFonts w:ascii="Times New Roman;serif" w:hAnsi="Times New Roman;serif"/>
          <w:b w:val="false"/>
          <w:color w:val="000000"/>
          <w:sz w:val="20"/>
        </w:rPr>
        <w:t>Liftrock, LLC (“Liftrock”), a Texas limited liability company wholly owned by Flatrock Compression, Ltd.</w:t>
      </w:r>
    </w:p>
    <w:p>
      <w:pPr>
        <w:pStyle w:val="TextBody"/>
        <w:bidi w:val="0"/>
        <w:spacing w:lineRule="auto" w:line="288" w:before="0" w:after="0"/>
        <w:jc w:val="both"/>
        <w:rPr/>
      </w:pPr>
      <w:r>
        <w:rPr>
          <w:color w:val="000000"/>
        </w:rPr>
        <w:t>•</w:t>
      </w:r>
      <w:r>
        <w:rPr>
          <w:rFonts w:ascii="Times New Roman;serif" w:hAnsi="Times New Roman;serif"/>
          <w:b w:val="false"/>
          <w:color w:val="000000"/>
          <w:sz w:val="20"/>
        </w:rPr>
        <w:t>FC GP, LLC (“FCGP”), a Texas limited liability company</w:t>
      </w:r>
    </w:p>
    <w:p>
      <w:pPr>
        <w:pStyle w:val="TextBody"/>
        <w:bidi w:val="0"/>
        <w:spacing w:lineRule="auto" w:line="288" w:before="0" w:after="0"/>
        <w:jc w:val="both"/>
        <w:rPr/>
      </w:pPr>
      <w:r>
        <w:rPr>
          <w:color w:val="000000"/>
        </w:rPr>
        <w:t>•</w:t>
      </w:r>
      <w:r>
        <w:rPr>
          <w:rFonts w:ascii="Times New Roman;serif" w:hAnsi="Times New Roman;serif"/>
          <w:b w:val="false"/>
          <w:color w:val="000000"/>
          <w:sz w:val="20"/>
        </w:rPr>
        <w:t>K-19 Partners LLC (“K-19”), a Delaware limited liability company</w:t>
      </w:r>
    </w:p>
    <w:p>
      <w:pPr>
        <w:pStyle w:val="TextBody"/>
        <w:bidi w:val="0"/>
        <w:spacing w:lineRule="auto" w:line="288" w:before="0" w:after="120"/>
        <w:jc w:val="both"/>
        <w:rPr/>
      </w:pPr>
      <w:r>
        <w:rPr>
          <w:color w:val="000000"/>
        </w:rPr>
        <w:t>•</w:t>
      </w:r>
      <w:r>
        <w:rPr>
          <w:rFonts w:ascii="Times New Roman;serif" w:hAnsi="Times New Roman;serif"/>
          <w:b w:val="false"/>
          <w:color w:val="000000"/>
          <w:sz w:val="20"/>
        </w:rPr>
        <w:t>FGP Capital, LLC (“FGP”), a Delaware limited liability company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business combination, there was no business activity conducted by the Company. The Acquired Companies collectively comprise the business activities of leasing compressors for oil and natural gas production and providing compressor repair and maintenance services. Liftrock, with its proprietary QuickSet skid, is also engaged in the business of leasing equipment. The Company operates in one business segment within oil and gas producing areas primarily in Texas. Subsequent to the business combination, FCGP, K-19, and FGP were absorbed into Flatrock Compression Holdings, LLC.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Principles of Consolidation and Basis of Presentation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Consolidated Financial Statements were prepared in accordance with generally accepted accounting principles in the United States of America (“GAAP”) and include the accounts of Flatrock Compression Holdings, LLC, and those of the Acquired Companies. All significant intercompany accounts and transactions for the period presented have been eliminated in consolidation.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our Consolidated Financial Statements in conformity with GAAP requires our management to make estimates and assumptions that affect the amounts reported in these Consolidated Financial Statements and accompanying notes. Actual results could differ from those estimates. Significant estimates include fixed asset lives, provision for credit losses, the allowance for inventory obsolescence and the determination of carrying values in excess of fair values, when applicable, in connection with our annual review of our long-lived assets for impairment.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Cash and Cash Equivalents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purposes of reporting cash and cash equivalents and cash flows, we consider all short-term investments with an original maturity of three months or less to be cash equivalents. At times, cash balances at banks and financial institutions may exceed federally insured amounts.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Trade Accounts Receivable and Credit Losses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trade accounts receivable are generally for 30 days in accordance with the payment terms specified in our master rental service and similar agreements. Our trade accounts receivable are substantially concentrated with customers in the exploration and production industry and range from large, multinational majors to regional firms of various sizes. We perform ongoing credit evaluations of our customers and adjust credit limits based on management’s assessment of the customer’s financial condition and payment history, as well as industry and general economic conditions. We continuously monitor collections and payments from our customers, and maintain an allowance for estimated credit losses based upon our historical experience and any specific customer collection issues that we have identified as well as forecasts of future economic conditions.</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right"/>
        <w:rPr>
          <w:color w:val="000000"/>
        </w:rPr>
      </w:pPr>
      <w:r>
        <w:rPr>
          <w:color w:val="000000"/>
        </w:rPr>
        <w:t>        </w:t>
      </w:r>
      <w:r>
        <w:rPr>
          <w:rFonts w:ascii="Times New Roman;serif" w:hAnsi="Times New Roman;serif"/>
          <w:b/>
          <w:color w:val="000000"/>
          <w:sz w:val="20"/>
        </w:rPr>
        <w:t>Exhibit 99.1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description of principal activities from which we generate our revenue and the accounting policies that we apply for the recognition thereof:</w:t>
      </w:r>
    </w:p>
    <w:p>
      <w:pPr>
        <w:pStyle w:val="TextBody"/>
        <w:bidi w:val="0"/>
        <w:spacing w:lineRule="auto" w:line="288" w:before="0" w:after="60"/>
        <w:ind w:left="0" w:right="0" w:firstLine="720"/>
        <w:jc w:val="both"/>
        <w:rPr/>
      </w:pPr>
      <w:r>
        <w:rPr>
          <w:rFonts w:ascii="Times New Roman;serif" w:hAnsi="Times New Roman;serif"/>
          <w:b w:val="false"/>
          <w:i/>
          <w:color w:val="000000"/>
          <w:sz w:val="20"/>
        </w:rPr>
        <w:t>Rental Revenue</w:t>
      </w:r>
      <w:r>
        <w:rPr>
          <w:rFonts w:ascii="Times New Roman;serif" w:hAnsi="Times New Roman;serif"/>
          <w:b w:val="false"/>
          <w:color w:val="000000"/>
          <w:sz w:val="20"/>
        </w:rPr>
        <w:t xml:space="preserve">. We generate revenue from renting compressor equipment to our customers for the right to control the use of the equipment ratably over the term of the underlying master rental service and similar agreements. Our agreements for rental equipment qualify as operating leases under the Financial Accounting Standards Board’s (“FASB”) Accounting Standards Codification (“ASC”) Topic 842, </w:t>
      </w:r>
      <w:r>
        <w:rPr>
          <w:rFonts w:ascii="Times New Roman;serif" w:hAnsi="Times New Roman;serif"/>
          <w:b w:val="false"/>
          <w:i/>
          <w:color w:val="000000"/>
          <w:sz w:val="20"/>
        </w:rPr>
        <w:t>Leases</w:t>
      </w:r>
      <w:r>
        <w:rPr>
          <w:rFonts w:ascii="Times New Roman;serif" w:hAnsi="Times New Roman;serif"/>
          <w:b w:val="false"/>
          <w:color w:val="000000"/>
          <w:sz w:val="20"/>
        </w:rPr>
        <w:t xml:space="preserve">, as amended (“ASC 842”), as we retain the primary exposure to changes in the underlying equipment’s value as the lessor unlike a sale or secured lending arrangement. Our rental agreements typically range from 12 to 36 months. </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lessor, we recognize operating lease revenue on a straight-line basis with equal monthly payments over the term of the underlying agreements. After the terms of the agreement have expired, a customer may renew their contract or continue renting on a monthly basis thereafter. The leased equipment is generally skid-mounted and can be moved to different locations at the direction of our customers. The leased equipment assets remain on our Consolidated Balance Sheets consistent with other property and equipment. Cash receipts associated with our lease agreements are classified within cash flows from operating activities in our Consolidated Statements of Cash Flows.</w:t>
      </w:r>
    </w:p>
    <w:p>
      <w:pPr>
        <w:pStyle w:val="TextBody"/>
        <w:bidi w:val="0"/>
        <w:spacing w:lineRule="auto" w:line="288" w:before="0" w:after="60"/>
        <w:ind w:left="0" w:right="0" w:firstLine="720"/>
        <w:jc w:val="both"/>
        <w:rPr/>
      </w:pPr>
      <w:r>
        <w:rPr>
          <w:rFonts w:ascii="Times New Roman;serif" w:hAnsi="Times New Roman;serif"/>
          <w:b w:val="false"/>
          <w:i/>
          <w:color w:val="000000"/>
          <w:sz w:val="20"/>
        </w:rPr>
        <w:t>Service and Parts Revenue.</w:t>
      </w:r>
      <w:r>
        <w:rPr>
          <w:color w:val="000000"/>
        </w:rPr>
        <w:t xml:space="preserve"> </w:t>
      </w:r>
      <w:r>
        <w:rPr>
          <w:rFonts w:ascii="Times New Roman;serif" w:hAnsi="Times New Roman;serif"/>
          <w:b w:val="false"/>
          <w:color w:val="000000"/>
          <w:sz w:val="20"/>
        </w:rPr>
        <w:t xml:space="preserve">We generate revenue from the sale of component parts and aftermarket or call-out services on compression equipment. Consistent with ASC Topic 606, </w:t>
      </w:r>
      <w:r>
        <w:rPr>
          <w:rFonts w:ascii="Times New Roman;serif" w:hAnsi="Times New Roman;serif"/>
          <w:b w:val="false"/>
          <w:i/>
          <w:color w:val="000000"/>
          <w:sz w:val="20"/>
        </w:rPr>
        <w:t>Revenues from Contracts with Customers</w:t>
      </w:r>
      <w:r>
        <w:rPr>
          <w:rFonts w:ascii="Times New Roman;serif" w:hAnsi="Times New Roman;serif"/>
          <w:b w:val="false"/>
          <w:color w:val="000000"/>
          <w:sz w:val="20"/>
        </w:rPr>
        <w:t>, as amended, revenue is measured and recognized based on a consideration specified in a customer’s contract, excluding any sale incentives and taxes collected on behalf of third parties (i.e. sales and property taxes). Revenue is recognized when a customer obtains control of promised goods or services in an amount that reflects the consideration that we expect to receive for those goods or services. To recognize revenue, we (i) identify the contract(s) with a customer; (ii) identify the performance obligations in the contract; (iii) determine the transaction price; (iv) allocate the transaction price to the performance obligations in the contract; and (v) recognize revenue when, or as, we satisfy the performance obligation(s). Transaction prices are not subject to variable consideration constraints. Shipping and handling costs incurred are accounted for as fulfillment costs and are included in cost of revenues in our Consolidated Statements of Operations.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component parts sales, revenue is recognized when control has passed to the customer generally when shipped. Revenue for aftermarket and other services is recognized after the services in the contract are rendered.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Inventory Valuation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Inventory is valued at the lower of cost or net realizable value. The cost of inventories is determined by the weighted average method. We regularly review inventory quantities on hand and record a provision for excess and obsolete inventory based primarily on current and anticipated customer demand. We routinely review our inventory allowance to account for slow moving or obsolete inventory costs that may not be recoverable in the future. We assess anticipated customer demand based on current and upcoming activities and budgets of our major customers as well as other significant companies in the industry, along with oil and gas price forecasts and other factors affecting the industry.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Long-Lived Assets</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Property and equipment acquired in a business combination are recorded at fair value at the date of acquisition; all other property and equipment are recorded at cost. Such property and equipment plus additions since that time are presented less accumulated depreciation, except for work-in-progress on new rental equipment which is recorded at cost until completion and addition to our fleet. Depreciation is computed using the straight-line method over the estimated useful lives of the major asset categories as follows:</w:t>
      </w:r>
    </w:p>
    <w:tbl>
      <w:tblPr>
        <w:tblW w:w="5409" w:type="dxa"/>
        <w:jc w:val="left"/>
        <w:tblInd w:w="0" w:type="dxa"/>
        <w:tblLayout w:type="fixed"/>
        <w:tblCellMar>
          <w:top w:w="28" w:type="dxa"/>
          <w:left w:w="28" w:type="dxa"/>
          <w:bottom w:w="28" w:type="dxa"/>
          <w:right w:w="28" w:type="dxa"/>
        </w:tblCellMar>
      </w:tblPr>
      <w:tblGrid>
        <w:gridCol w:w="923"/>
        <w:gridCol w:w="810"/>
        <w:gridCol w:w="816"/>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67"/>
        <w:gridCol w:w="167"/>
        <w:gridCol w:w="237"/>
      </w:tblGrid>
      <w:tr>
        <w:trPr/>
        <w:tc>
          <w:tcPr>
            <w:tcW w:w="923"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years</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Vehicles and other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years</w:t>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assess our rental equipment and property and equipment for impairment whenever events or changes in circumstances indicate that the carrying value may not be recoverable. The following factors could trigger an impairment review: significant underperformance relative to historical or projected future cash flows; significant adverse changes in the extent or manner in which the asset (or asset group) is being used or its condition, including a meaningful drop in fleet utilization over the prior four quarters; significant negative industry or company-specific </w:t>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right"/>
        <w:rPr>
          <w:color w:val="000000"/>
        </w:rPr>
      </w:pPr>
      <w:r>
        <w:rPr>
          <w:color w:val="000000"/>
        </w:rPr>
        <w:t>        </w:t>
      </w:r>
      <w:r>
        <w:rPr>
          <w:rFonts w:ascii="Times New Roman;serif" w:hAnsi="Times New Roman;serif"/>
          <w:b/>
          <w:color w:val="000000"/>
          <w:sz w:val="20"/>
        </w:rPr>
        <w:t>Exhibit 99.1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trends or actions, including meaningful activity and budget reductions by our major customers or other sizable exploration and production or midstream companies, as well as significant declines in oil and gas prices; legislative changes prohibiting us from leasing our compressor units; or poor general economic conditions. An impairment loss is recognized if the future undiscounted cash flows associated with the asset (or asset group) and the estimated fair value of the asset are less than the asset’s carrying value. Maintenance and repairs are charged to cost of rentals as incurred.</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goodwill acquired in the business combination described in Note 1 represents the excess of consideration transferred over the fair value of the assets acquired and liabilities assumed. We review the carrying amount of our goodwill on a quarterly basis, or whenever indicators of potential impairment exist, to determine if the carrying amount of a reporting unit exceeds its fair value, including the applicable goodwill. In addition, we perform an annual qualitative assessment to determine whether it is more-likely-than-not that the fair value of a reporting unit is impaired. If the fair value is more-likely-than-not impaired, we perform a quantitative impairment test to identify impairment and measure the amount of impairment loss to be recognized, if any.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qualitative assessment includes consideration of various events and circumstances and their potential impact to a reporting unit’s fair value, including macroeconomic and industry conditions such as a deterioration in our operating environment and limitations on access to capital and other developments in the equity and credit markets, cost factors that could have a negative effect on earnings and cash flows, relevant entity-specific and reporting unit-specific events and overall financial performance such as declining earnings or cash flows or other indicators of a decrease in our enterprise value.</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amortize our intangible assets over their useful lives, or 15 years, and review for impairment when indicators of impairment are present. We review intangibles through an assessment of the estimated future cash flows related to such assets. In the event that assets are found to be carried at amounts in excess of estimated undiscounted future cash flows, then the assets will be adjusted for impairment to a level commensurate with a discounted cash flow analysis of the underlying assets.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determine if an arrangement is a lease at inception by assessing whether it conveys the right to control the use of an identified asset for a period of time in exchange for consideration. We determine lease classification and recognize right-of-use (“ROU”) assets and liabilities on the lease commencement date based on the present value of lease payments over the lease term. For each lease that (i) contains the same timing and pattern of transfer for lease and non-lease components and (ii) if the lease component, if accounted for separately, would be classified as an operating lease, we have elected the practical expedient to not separate non-lease components from lease components. ROU assets and lease liabilities are recognized at the lease commencement date based on the present value of lease payments over the lease term. As substantially all of our leases do not provide an implicit rate, we use our incremental borrowing rate, which is based on a fully collateralized loan over the lease term, to determine the present value of lease payments. Our ROU assets are included in Other assets and the related current and noncurrent lease obligations are included in Accrued liabilities and Other long-term liabilities, respectively, on our Consolidated Balance Sheets.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limited liability company, the Company’s federal taxable income or loss is allocated to members in accordance with their respective ownership percentages. Therefore, no provision or liability for federal income taxes has been included in these consolidated financial statements and is not taxed at the entity level. In accordance with ASC Topic 740, management evaluated the Company’s tax positions and concluded the Company has taken no uncertain tax positions. The Company is subject to the Texas state margin tax, which applies to legal entities conducting business in the state. The margin tax is calculated by applying a rate to a base that considers both revenues and expenses and, therefore, has characteristics of an income tax. As a result, the Company recorded $0.1 million in state income tax for 2025, that is solely attributable to the state margin tax.</w:t>
      </w:r>
    </w:p>
    <w:p>
      <w:pPr>
        <w:pStyle w:val="TextBody"/>
        <w:bidi w:val="0"/>
        <w:spacing w:before="0" w:after="1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right"/>
        <w:rPr>
          <w:color w:val="000000"/>
        </w:rPr>
      </w:pPr>
      <w:r>
        <w:rPr>
          <w:color w:val="000000"/>
        </w:rPr>
        <w:t>        </w:t>
      </w:r>
      <w:r>
        <w:rPr>
          <w:rFonts w:ascii="Times New Roman;serif" w:hAnsi="Times New Roman;serif"/>
          <w:b/>
          <w:color w:val="000000"/>
          <w:sz w:val="20"/>
        </w:rPr>
        <w:t>Exhibit 99.1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Fair Value Measurement</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paid to transfer a liability in an orderly transaction between market participants at the measurement date under current market conditions. GAAP provides for a fair value hierarchy, which requires an entity to maximize the use of observable inputs when measuring fair value. These inputs are categorized as follows:</w:t>
      </w:r>
    </w:p>
    <w:p>
      <w:pPr>
        <w:pStyle w:val="TextBody"/>
        <w:bidi w:val="0"/>
        <w:spacing w:lineRule="auto" w:line="288" w:before="0" w:after="60"/>
        <w:jc w:val="both"/>
        <w:rPr/>
      </w:pPr>
      <w:r>
        <w:rPr>
          <w:rFonts w:ascii="Times New Roman;serif" w:hAnsi="Times New Roman;serif"/>
          <w:b w:val="false"/>
          <w:i/>
          <w:color w:val="000000"/>
          <w:sz w:val="20"/>
        </w:rPr>
        <w:t>Level 1</w:t>
      </w:r>
      <w:r>
        <w:rPr>
          <w:color w:val="000000"/>
        </w:rPr>
        <w:t xml:space="preserve"> </w:t>
      </w:r>
      <w:r>
        <w:rPr>
          <w:rFonts w:ascii="Times New Roman;serif" w:hAnsi="Times New Roman;serif"/>
          <w:b w:val="false"/>
          <w:color w:val="000000"/>
          <w:sz w:val="20"/>
        </w:rPr>
        <w:t>- quoted prices in an active market for identical assets or liabilities;</w:t>
      </w:r>
    </w:p>
    <w:p>
      <w:pPr>
        <w:pStyle w:val="TextBody"/>
        <w:bidi w:val="0"/>
        <w:spacing w:lineRule="auto" w:line="288" w:before="0" w:after="60"/>
        <w:jc w:val="both"/>
        <w:rPr/>
      </w:pPr>
      <w:r>
        <w:rPr>
          <w:rFonts w:ascii="Times New Roman;serif" w:hAnsi="Times New Roman;serif"/>
          <w:b w:val="false"/>
          <w:i/>
          <w:color w:val="000000"/>
          <w:sz w:val="20"/>
        </w:rPr>
        <w:t>Level 2</w:t>
      </w:r>
      <w:r>
        <w:rPr>
          <w:color w:val="000000"/>
        </w:rPr>
        <w:t xml:space="preserve"> </w:t>
      </w:r>
      <w:r>
        <w:rPr>
          <w:rFonts w:ascii="Times New Roman;serif" w:hAnsi="Times New Roman;serif"/>
          <w:b w:val="false"/>
          <w:color w:val="000000"/>
          <w:sz w:val="20"/>
        </w:rPr>
        <w:t>- quoted prices in an active market for similar assets or liabilities, inputs other than quoted prices that are observable for similar assets or liabilities, inputs derived principally from or corroborated by observable market data by correlation or other means; and</w:t>
      </w:r>
    </w:p>
    <w:p>
      <w:pPr>
        <w:pStyle w:val="TextBody"/>
        <w:bidi w:val="0"/>
        <w:spacing w:lineRule="auto" w:line="288" w:before="0" w:after="60"/>
        <w:jc w:val="both"/>
        <w:rPr/>
      </w:pPr>
      <w:r>
        <w:rPr>
          <w:rFonts w:ascii="Times New Roman;serif" w:hAnsi="Times New Roman;serif"/>
          <w:b w:val="false"/>
          <w:i/>
          <w:color w:val="000000"/>
          <w:sz w:val="20"/>
        </w:rPr>
        <w:t>Level 3</w:t>
      </w:r>
      <w:r>
        <w:rPr>
          <w:color w:val="000000"/>
        </w:rPr>
        <w:t xml:space="preserve"> </w:t>
      </w:r>
      <w:r>
        <w:rPr>
          <w:rFonts w:ascii="Times New Roman;serif" w:hAnsi="Times New Roman;serif"/>
          <w:b w:val="false"/>
          <w:color w:val="000000"/>
          <w:sz w:val="20"/>
        </w:rPr>
        <w:t>- valuation methodology with unobservable inputs that are significant to the fair value measurement.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that the fair value of our cash and cash equivalents, trade accounts receivables, and accounts payable as of December 31, 2025 approximate their carrying values due to the short-term nature of the instruments or the use of prevailing market interest rates. We considered the borrowings under our credit facility to approximate fair value based upon variable interest rates currently available to us for loans with similar terms (level 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3.    Trade Accounts Receivable</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trade accounts receivable from customers as December 31, 2025: </w:t>
      </w:r>
    </w:p>
    <w:tbl>
      <w:tblPr>
        <w:tblW w:w="3980" w:type="dxa"/>
        <w:jc w:val="left"/>
        <w:tblInd w:w="0" w:type="dxa"/>
        <w:tblLayout w:type="fixed"/>
        <w:tblCellMar>
          <w:top w:w="28" w:type="dxa"/>
          <w:left w:w="28" w:type="dxa"/>
          <w:bottom w:w="28" w:type="dxa"/>
          <w:right w:w="28" w:type="dxa"/>
        </w:tblCellMar>
      </w:tblPr>
      <w:tblGrid>
        <w:gridCol w:w="1086"/>
        <w:gridCol w:w="955"/>
        <w:gridCol w:w="958"/>
        <w:gridCol w:w="211"/>
        <w:gridCol w:w="616"/>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Less: Provision for credit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trade accounts receivable,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trade accounts receivable consist of customer obligations due under normal trade terms for operating leases for the use of our compressors and the sales of services and parts. We recorded a provision for credit losses of $0.1 million for the year ended December 31, 2025. Management believes that the overall provision for credit losses is adequate; however, actual write-offs may exceed the recorded allowance.</w:t>
      </w:r>
    </w:p>
    <w:p>
      <w:pPr>
        <w:pStyle w:val="TextBody"/>
        <w:bidi w:val="0"/>
        <w:spacing w:lineRule="auto" w:line="288" w:before="0" w:after="12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Major Customers and Concentration of Credit Risk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the Company had two customers whose consolidated revenues represented approximately 33% of total revenues. The total accounts receivable due from these customers as of December 31, 2025 was approximately 14% of total accounts receivable. Two additional customers had accounts receivable balances as of December 31, 2025 that comprised approximately 62% of total accounts receivable.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4.    Inventory</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our inventory, net of allowance for obsolescence as of December 31, 2025:</w:t>
      </w:r>
    </w:p>
    <w:tbl>
      <w:tblPr>
        <w:tblW w:w="3366" w:type="dxa"/>
        <w:jc w:val="left"/>
        <w:tblInd w:w="0" w:type="dxa"/>
        <w:tblLayout w:type="fixed"/>
        <w:tblCellMar>
          <w:top w:w="28" w:type="dxa"/>
          <w:left w:w="28" w:type="dxa"/>
          <w:bottom w:w="28" w:type="dxa"/>
          <w:right w:w="28" w:type="dxa"/>
        </w:tblCellMar>
      </w:tblPr>
      <w:tblGrid>
        <w:gridCol w:w="864"/>
        <w:gridCol w:w="757"/>
        <w:gridCol w:w="764"/>
        <w:gridCol w:w="211"/>
        <w:gridCol w:w="616"/>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supplies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obsolescence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right"/>
        <w:rPr>
          <w:color w:val="000000"/>
        </w:rPr>
      </w:pPr>
      <w:r>
        <w:rPr>
          <w:color w:val="000000"/>
        </w:rPr>
        <w:t>        </w:t>
      </w:r>
      <w:r>
        <w:rPr>
          <w:rFonts w:ascii="Times New Roman;serif" w:hAnsi="Times New Roman;serif"/>
          <w:b/>
          <w:color w:val="000000"/>
          <w:sz w:val="20"/>
        </w:rPr>
        <w:t>Exhibit 99.1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5.    Property and Equipment</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property and equipment as of December 31, 2025:</w:t>
      </w:r>
    </w:p>
    <w:tbl>
      <w:tblPr>
        <w:tblW w:w="4311" w:type="dxa"/>
        <w:jc w:val="left"/>
        <w:tblInd w:w="0" w:type="dxa"/>
        <w:tblLayout w:type="fixed"/>
        <w:tblCellMar>
          <w:top w:w="28" w:type="dxa"/>
          <w:left w:w="28" w:type="dxa"/>
          <w:bottom w:w="28" w:type="dxa"/>
          <w:right w:w="28" w:type="dxa"/>
        </w:tblCellMar>
      </w:tblPr>
      <w:tblGrid>
        <w:gridCol w:w="1165"/>
        <w:gridCol w:w="1026"/>
        <w:gridCol w:w="1034"/>
        <w:gridCol w:w="211"/>
        <w:gridCol w:w="721"/>
        <w:gridCol w:w="154"/>
      </w:tblGrid>
      <w:tr>
        <w:trPr/>
        <w:tc>
          <w:tcPr>
            <w:tcW w:w="1165"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Compressor units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Work-in-progress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Land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and leasehold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Vehicles and other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55,147 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Depreciation expense for property and equipment was $10.2 million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6.    Goodwill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goodwill asset arose in connection with business combination transaction described in Note 1. During the fourth quarter of 2025, we performed an annual qualitative goodwill impairment assessment and determined that it is not more-likely-than-not that the fair value of the Company was impaired.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7.    Intangible Assets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Intangible assets include customer relationships, tradenames for Flatrock and Liftrock and a patent for certain Liftrock technology. These acquired intangible assets were recorded at fair value determined in the business combination transaction described in Note 1. </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intangible assets, all of which are amortizable, as of December 31, 2025:</w:t>
      </w:r>
    </w:p>
    <w:tbl>
      <w:tblPr>
        <w:tblW w:w="3726" w:type="dxa"/>
        <w:jc w:val="left"/>
        <w:tblInd w:w="0" w:type="dxa"/>
        <w:tblLayout w:type="fixed"/>
        <w:tblCellMar>
          <w:top w:w="28" w:type="dxa"/>
          <w:left w:w="28" w:type="dxa"/>
          <w:bottom w:w="28" w:type="dxa"/>
          <w:right w:w="28" w:type="dxa"/>
        </w:tblCellMar>
      </w:tblPr>
      <w:tblGrid>
        <w:gridCol w:w="994"/>
        <w:gridCol w:w="874"/>
        <w:gridCol w:w="877"/>
        <w:gridCol w:w="211"/>
        <w:gridCol w:w="616"/>
        <w:gridCol w:w="154"/>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Tradenames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Estimated amortization expense for our intangible assets for each of the subsequent five fiscal years ended December 31, and thereafter, is as follows:</w:t>
      </w:r>
    </w:p>
    <w:tbl>
      <w:tblPr>
        <w:tblW w:w="1927" w:type="dxa"/>
        <w:jc w:val="left"/>
        <w:tblInd w:w="0" w:type="dxa"/>
        <w:tblLayout w:type="fixed"/>
        <w:tblCellMar>
          <w:top w:w="28" w:type="dxa"/>
          <w:left w:w="28" w:type="dxa"/>
          <w:bottom w:w="28" w:type="dxa"/>
          <w:right w:w="28" w:type="dxa"/>
        </w:tblCellMar>
      </w:tblPr>
      <w:tblGrid>
        <w:gridCol w:w="342"/>
        <w:gridCol w:w="300"/>
        <w:gridCol w:w="304"/>
        <w:gridCol w:w="211"/>
        <w:gridCol w:w="61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Amortization expense for intangible assets was $0.6 million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right"/>
        <w:rPr>
          <w:color w:val="000000"/>
        </w:rPr>
      </w:pPr>
      <w:r>
        <w:rPr>
          <w:color w:val="000000"/>
        </w:rPr>
        <w:t>        </w:t>
      </w:r>
      <w:r>
        <w:rPr>
          <w:rFonts w:ascii="Times New Roman;serif" w:hAnsi="Times New Roman;serif"/>
          <w:b/>
          <w:color w:val="000000"/>
          <w:sz w:val="20"/>
        </w:rPr>
        <w:t>Exhibit 99.1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8.    Leases</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operating leases are primarily related to property leases for our service vehicles and an administrative and field office. Our operating leases have remaining lease terms of one to seven years. Renewal and termination options are included in the lease term when it is reasonably certain that we will exercise the option. Our finance leases were exclusively related to vehicles used in our rental business. Our lease agreements do not contain any contingent rental payments, material residual guarantees or material restrictive covenants.</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reflects the amounts related to leases that are recorded on our Consolidated Balance Sheet as of December 31, 2025: </w:t>
      </w:r>
    </w:p>
    <w:tbl>
      <w:tblPr>
        <w:tblW w:w="9178" w:type="dxa"/>
        <w:jc w:val="left"/>
        <w:tblInd w:w="0" w:type="dxa"/>
        <w:tblLayout w:type="fixed"/>
        <w:tblCellMar>
          <w:top w:w="28" w:type="dxa"/>
          <w:left w:w="28" w:type="dxa"/>
          <w:bottom w:w="28" w:type="dxa"/>
          <w:right w:w="28" w:type="dxa"/>
        </w:tblCellMar>
      </w:tblPr>
      <w:tblGrid>
        <w:gridCol w:w="1826"/>
        <w:gridCol w:w="1601"/>
        <w:gridCol w:w="1612"/>
        <w:gridCol w:w="109"/>
        <w:gridCol w:w="109"/>
        <w:gridCol w:w="109"/>
        <w:gridCol w:w="889"/>
        <w:gridCol w:w="889"/>
        <w:gridCol w:w="891"/>
        <w:gridCol w:w="211"/>
        <w:gridCol w:w="616"/>
        <w:gridCol w:w="316"/>
      </w:tblGrid>
      <w:tr>
        <w:trPr/>
        <w:tc>
          <w:tcPr>
            <w:tcW w:w="1826"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Classification on Consolidated</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Sheet</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right of 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 finance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 operating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 - finance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 - 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from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summarizes the future maturities of our lease liabilities for the years ended December 31:</w:t>
      </w:r>
    </w:p>
    <w:tbl>
      <w:tblPr>
        <w:tblW w:w="7803" w:type="dxa"/>
        <w:jc w:val="left"/>
        <w:tblInd w:w="0" w:type="dxa"/>
        <w:tblLayout w:type="fixed"/>
        <w:tblCellMar>
          <w:top w:w="28" w:type="dxa"/>
          <w:left w:w="28" w:type="dxa"/>
          <w:bottom w:w="28" w:type="dxa"/>
          <w:right w:w="28" w:type="dxa"/>
        </w:tblCellMar>
      </w:tblPr>
      <w:tblGrid>
        <w:gridCol w:w="2049"/>
        <w:gridCol w:w="1798"/>
        <w:gridCol w:w="1822"/>
        <w:gridCol w:w="211"/>
        <w:gridCol w:w="466"/>
        <w:gridCol w:w="109"/>
        <w:gridCol w:w="109"/>
        <w:gridCol w:w="109"/>
        <w:gridCol w:w="109"/>
        <w:gridCol w:w="259"/>
        <w:gridCol w:w="572"/>
        <w:gridCol w:w="190"/>
      </w:tblGrid>
      <w:tr>
        <w:trPr/>
        <w:tc>
          <w:tcPr>
            <w:tcW w:w="2049"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w:t>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 recognized on the Consolidated Balance Sheet</w:t>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maturities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lease liabilities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right"/>
        <w:rPr>
          <w:color w:val="000000"/>
        </w:rPr>
      </w:pPr>
      <w:r>
        <w:rPr>
          <w:color w:val="000000"/>
        </w:rPr>
        <w:t>        </w:t>
      </w:r>
      <w:r>
        <w:rPr>
          <w:rFonts w:ascii="Times New Roman;serif" w:hAnsi="Times New Roman;serif"/>
          <w:b/>
          <w:color w:val="000000"/>
          <w:sz w:val="20"/>
        </w:rPr>
        <w:t>Exhibit 99.1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9.    Supplemental Balance Sheet Disclosures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other assets as of December 31, 2025:</w:t>
      </w:r>
    </w:p>
    <w:tbl>
      <w:tblPr>
        <w:tblW w:w="3216" w:type="dxa"/>
        <w:jc w:val="left"/>
        <w:tblInd w:w="0" w:type="dxa"/>
        <w:tblLayout w:type="fixed"/>
        <w:tblCellMar>
          <w:top w:w="28" w:type="dxa"/>
          <w:left w:w="28" w:type="dxa"/>
          <w:bottom w:w="28" w:type="dxa"/>
          <w:right w:w="28" w:type="dxa"/>
        </w:tblCellMar>
      </w:tblPr>
      <w:tblGrid>
        <w:gridCol w:w="808"/>
        <w:gridCol w:w="712"/>
        <w:gridCol w:w="715"/>
        <w:gridCol w:w="211"/>
        <w:gridCol w:w="616"/>
        <w:gridCol w:w="154"/>
      </w:tblGrid>
      <w:tr>
        <w:trPr/>
        <w:tc>
          <w:tcPr>
            <w:tcW w:w="80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assets,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accrued liabilities as of December 31, 2025:</w:t>
      </w:r>
    </w:p>
    <w:tbl>
      <w:tblPr>
        <w:tblW w:w="2990" w:type="dxa"/>
        <w:jc w:val="left"/>
        <w:tblInd w:w="0" w:type="dxa"/>
        <w:tblLayout w:type="fixed"/>
        <w:tblCellMar>
          <w:top w:w="28" w:type="dxa"/>
          <w:left w:w="28" w:type="dxa"/>
          <w:bottom w:w="28" w:type="dxa"/>
          <w:right w:w="28" w:type="dxa"/>
        </w:tblCellMar>
      </w:tblPr>
      <w:tblGrid>
        <w:gridCol w:w="728"/>
        <w:gridCol w:w="638"/>
        <w:gridCol w:w="643"/>
        <w:gridCol w:w="211"/>
        <w:gridCol w:w="616"/>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purchases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10.    Line of Credit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had a credit and security agreement with Regions Bank to provide for a $75.0 million revolving line of credit maturing on April 1, 2027 (the “Credit Agreement”). The Credit Agreement permits borrowings up to the available credit or maximum borrowing base which is based on the valuation of certain assets and redetermined monthly. Borrowings are collateralized by substantially all assets of the Company, including a lien on all revenue, equipment, inventory, and deposit accounts. The line of credit requires monthly payments of interest based on the outstanding balance using the variable rate of 3.25% plus the daily simple Secured Overnight Financing Rate (“SOFR”) (effective rate of 6.82% at December 31, 2025).</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Credit Agreement provides for covenants, which among others, include restrictions on additional indebtedness and the maintenance of prescribed financial ratios. As of December 31, 2025, we were in compliance with all such covenants.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outstanding balance under the Credit Agreement was $41.8 million. The balance is presented as a current liability as the Credit Agreement is subject to certain lockbox arrangements and subjective acceleration clauses that preclude long-term classification. In connection with the Credit Agreement, the Company incurred $0.3 million of debt issuance costs, which are presented in Prepaid expenses, and amortized over the term of the Credit Agreement using the effective interest rate method. As of December 31, 2025, the unamortized balance of the debt issue costs was $0.1 million which is included in Prepaid expenses on the Consolidated Balance Sheet. Amortization of debt issuance costs of $0.1 million was reflected in interest expense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11.    Commitments and Contingencies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are a party to various claims and legal proceedings arising from our operations in the ordinary course of our business. We are not currently a party to any material legal proceedings, and we are not aware of any threatened material litigation. While the outcome of any potential claims and legal proceedings against us cannot be predicted with certainty, we have concluded that it is not considered reasonably possible that a loss resulting from any such claims or proceedings in excess of any amounts accrued has been incurred that is expected to have a material adverse effect on our financial position, results of operations or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right"/>
        <w:rPr>
          <w:color w:val="000000"/>
        </w:rPr>
      </w:pPr>
      <w:r>
        <w:rPr>
          <w:color w:val="000000"/>
        </w:rPr>
        <w:t>        </w:t>
      </w:r>
      <w:r>
        <w:rPr>
          <w:rFonts w:ascii="Times New Roman;serif" w:hAnsi="Times New Roman;serif"/>
          <w:b/>
          <w:color w:val="000000"/>
          <w:sz w:val="20"/>
        </w:rPr>
        <w:t>Exhibit 99.1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60"/>
        <w:jc w:val="both"/>
        <w:rPr>
          <w:rFonts w:ascii="Times New Roman;serif" w:hAnsi="Times New Roman;serif"/>
          <w:b/>
          <w:color w:val="000000"/>
          <w:sz w:val="20"/>
        </w:rPr>
      </w:pPr>
      <w:r>
        <w:rPr>
          <w:rFonts w:ascii="Times New Roman;serif" w:hAnsi="Times New Roman;serif"/>
          <w:b/>
          <w:color w:val="000000"/>
          <w:sz w:val="20"/>
        </w:rPr>
        <w:t>12.    Members’ Equity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had three classes of equity interests outstanding: Class A Units, Class B Units, and Class C Units.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Class A Units represent the Company’s primary equity ownership. The holders are entitled to voting, economic, and management rights. Holders of Class A Units are entitled to receive priority distributions, including return of capital and a cumulative annual preferred return of 10% on unreturned capital, prior to any participation by Class B or Class C Unit holders. As of December 31, 2025, a total of 32,728,920 Class A Units were issued and outstanding. The preferred return for Class A Units is calculated at 10% per annum on the unreturned capital contributions of the holders of Class A Units. The return accrues on a cumulative, non-compounding basis and is calculated from the date of capital contribution. The total preferred return accrued for the year ended December 31, 2025 was approximately $3.3 million. Distributions of approximately $4.9 million were made to Class A Unitholders during the year ended December 31, 2025 consisting of return payments against the preferred return. There was no unpaid preferred return as of December 31, 2025.</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Class B Units are non-voting and represent profits interests issued to a single equity holder. The Class B Unit holder is entitled to distributions only after the return of capital and preferred return to Class A Unit holders and any applicable distributions to Class C Unit holders. As of December 31, 2025, 10,000 Class B Units were issued and outstanding.</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Class C Units are non-voting incentive units issued through the Company’s management equity plan. These interests are designed to align management’s interests with the long-term performance of the Company and may be granted to executives and other service providers, subject to approval by the Board. As of December 31, 2025, 200,000 Class C Units were issued and outstanding. Class C Units are subject to time and performance-based vesting terms, which are governed by individual award agreements. Unvested Class C Units may be forfeited upon certain termination events.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may repurchase vested Class C Units upon a change in control or other repurchase events. The Board is authorized to approve additional units for issuance under the plan in limited amounts, not to exceed 10% of the Company’s outstanding units. The Class C Units were granted with a participation threshold that requires the return of capital and a preferred return to other unitholders prior to any distributions being made in respect of the Class C Units. As of the grant date, any potential compensation cost of the Class C Units was determined not to be material due primarily to the threshold provisions and other rights and restrictions attached to the units. Accordingly, no stock-based compensation expense was recognized during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Times New Roman;serif" w:hAnsi="Times New Roman;serif"/>
          <w:b/>
          <w:color w:val="000000"/>
          <w:sz w:val="20"/>
        </w:rPr>
      </w:pPr>
      <w:r>
        <w:rPr>
          <w:rFonts w:ascii="Times New Roman;serif" w:hAnsi="Times New Roman;serif"/>
          <w:b/>
          <w:color w:val="000000"/>
          <w:sz w:val="20"/>
        </w:rPr>
        <w:t>13.    Retirement Plan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participates in a 401(k) plan (the “Plan”) that covers substantially all employees. Employees are eligible to participate in the Plan at the attainment of age 21 and may elect to defer a percentage of their compensation up to the maximum deferral of pretax annual compensation as defined by law. The Company's required matching contribution is currently equal to 100% of each participant's salary deferral amount up to a maximum of 6% of each participant's compensation. Company contributions for the year ended December 31, 2025 totaled $0.3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Times New Roman;serif" w:hAnsi="Times New Roman;serif"/>
          <w:b/>
          <w:color w:val="000000"/>
          <w:sz w:val="20"/>
        </w:rPr>
      </w:pPr>
      <w:r>
        <w:rPr>
          <w:rFonts w:ascii="Times New Roman;serif" w:hAnsi="Times New Roman;serif"/>
          <w:b/>
          <w:color w:val="000000"/>
          <w:sz w:val="20"/>
        </w:rPr>
        <w:t>14.    Subsequent Events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12, 2026, Flatrock, the holders of all of the membership interests of Flatrock (each, a “Seller” and, collectively, the “Sellers”), and Mule Deer Sky LLC, a Texas limited liability company, solely in its capacity as the Sellers Representative executed a Securities Purchase Agreement with Natural Gas Services Group, Inc. (“NGS”), whereby Flatrock was acquired by NGS (the “Acquisition”). NGS provided consideration to the Sellers of approximately $119 million in connection with the Acquisition including approximately $109 million in cash and unregistered shares of NGS common stock valued at $10 million. The cash consideration included approximately $45.7 million to settle the Company’s outstanding principal and interest obligations under the Credit Facility concurrent with the closing of the Acquisition.</w:t>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evaluated all events subsequent to the balance sheet date as of December 31, 2025 and through the date this report was issued and determined that, other than the acquisition by NGS, there have been no other events that would require adjustments or additional disclosures to our Consolidated Financial Statements.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color w:val="000000"/>
        </w:rPr>
      </w:pPr>
      <w:r>
        <w:rPr>
          <w:color w:val="000000"/>
        </w:rPr>
        <w:t>                </w:t>
      </w:r>
      <w:r>
        <w:rPr>
          <w:rFonts w:ascii="Times New Roman;serif" w:hAnsi="Times New Roman;serif"/>
          <w:b/>
          <w:color w:val="000000"/>
          <w:sz w:val="20"/>
        </w:rPr>
        <w:t>Exhibit 99.2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3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FLATROCK COMPRESSION HOLDINGS, LLC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As of and for the Three Months Ended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March 31, 2026</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3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color w:val="000000"/>
        </w:rPr>
      </w:pPr>
      <w:r>
        <w:rPr>
          <w:color w:val="000000"/>
        </w:rPr>
        <w:t>                </w:t>
      </w:r>
      <w:r>
        <w:rPr>
          <w:rFonts w:ascii="Times New Roman;serif" w:hAnsi="Times New Roman;serif"/>
          <w:b/>
          <w:color w:val="000000"/>
          <w:sz w:val="20"/>
        </w:rPr>
        <w:t>Exhibit 99.2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FLATROCK COMPRESSION HOLDINGS, LLC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TO CONDENSED CONSOLIDATED FINANCIAL STATEMENTS</w:t>
      </w:r>
    </w:p>
    <w:p>
      <w:pPr>
        <w:pStyle w:val="TextBody"/>
        <w:bidi w:val="0"/>
        <w:spacing w:lineRule="auto" w:line="288" w:before="0" w:after="0"/>
        <w:jc w:val="center"/>
        <w:rPr>
          <w:color w:val="000000"/>
        </w:rPr>
      </w:pPr>
      <w:r>
        <w:rPr>
          <w:color w:val="000000"/>
        </w:rPr>
        <w:t>  </w:t>
      </w:r>
    </w:p>
    <w:tbl>
      <w:tblPr>
        <w:tblW w:w="8400" w:type="dxa"/>
        <w:jc w:val="center"/>
        <w:tblInd w:w="0" w:type="dxa"/>
        <w:tblLayout w:type="fixed"/>
        <w:tblCellMar>
          <w:top w:w="28" w:type="dxa"/>
          <w:left w:w="28" w:type="dxa"/>
          <w:bottom w:w="28" w:type="dxa"/>
          <w:right w:w="28" w:type="dxa"/>
        </w:tblCellMar>
      </w:tblPr>
      <w:tblGrid>
        <w:gridCol w:w="2833"/>
        <w:gridCol w:w="2491"/>
        <w:gridCol w:w="2505"/>
        <w:gridCol w:w="167"/>
        <w:gridCol w:w="167"/>
        <w:gridCol w:w="237"/>
      </w:tblGrid>
      <w:tr>
        <w:trPr/>
        <w:tc>
          <w:tcPr>
            <w:tcW w:w="2833"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Condensed Consolidated Balance Sheet as of March 31, 2026</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7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 of Operations for the Three Months Ended March 31, 2026</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7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 of Members’ Equity for the Three Months Ended March 31, 2026</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7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 of Cash Flows for the Three Months Ended March 31, 2026</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7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Description of Business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 Summary of Significant Accounting Policies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 Trade Accounts Receivables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 Inventory</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 Property and Equipment</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 Goodwill</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 Intangible Assets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 Supplemental Balance Sheet Disclosures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 Line of Credit</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Commitments and Contingencies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 Members’ Equity</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 Subsequent Events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color w:val="000000"/>
        </w:rPr>
      </w:pPr>
      <w:r>
        <w:rPr>
          <w:color w:val="000000"/>
        </w:rPr>
        <w:t>                </w:t>
      </w:r>
      <w:r>
        <w:rPr>
          <w:rFonts w:ascii="Times New Roman;serif" w:hAnsi="Times New Roman;serif"/>
          <w:b/>
          <w:color w:val="000000"/>
          <w:sz w:val="20"/>
        </w:rPr>
        <w:t>Exhibit 99.2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107" w:type="dxa"/>
        <w:jc w:val="left"/>
        <w:tblInd w:w="0" w:type="dxa"/>
        <w:tblLayout w:type="fixed"/>
        <w:tblCellMar>
          <w:top w:w="28" w:type="dxa"/>
          <w:left w:w="28" w:type="dxa"/>
          <w:bottom w:w="28" w:type="dxa"/>
          <w:right w:w="28" w:type="dxa"/>
        </w:tblCellMar>
      </w:tblPr>
      <w:tblGrid>
        <w:gridCol w:w="1783"/>
        <w:gridCol w:w="1568"/>
        <w:gridCol w:w="1568"/>
        <w:gridCol w:w="1006"/>
        <w:gridCol w:w="3437"/>
        <w:gridCol w:w="745"/>
      </w:tblGrid>
      <w:tr>
        <w:trPr/>
        <w:tc>
          <w:tcPr>
            <w:tcW w:w="1783"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43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r>
      <w:tr>
        <w:trPr/>
        <w:tc>
          <w:tcPr>
            <w:tcW w:w="10107"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FLATROCK COMPRESSION HOLDINGS, LLC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 AS OF MARCH 31, 2026</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(unaudited)</w:t>
            </w:r>
          </w:p>
          <w:p>
            <w:pPr>
              <w:pStyle w:val="TableContents"/>
              <w:bidi w:val="0"/>
              <w:spacing w:before="0" w:after="0"/>
              <w:jc w:val="center"/>
              <w:rPr/>
            </w:pPr>
            <w:r>
              <w:rPr/>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ASSETS</w:t>
            </w:r>
          </w:p>
        </w:tc>
        <w:tc>
          <w:tcPr>
            <w:tcW w:w="5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5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 net of provision for credit losses</w:t>
            </w:r>
          </w:p>
        </w:tc>
        <w:tc>
          <w:tcPr>
            <w:tcW w:w="4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3,004 </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net of allowance for obsolescence</w:t>
            </w:r>
          </w:p>
        </w:tc>
        <w:tc>
          <w:tcPr>
            <w:tcW w:w="4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6,797 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4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44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10,315 </w:t>
            </w:r>
          </w:p>
        </w:tc>
        <w:tc>
          <w:tcPr>
            <w:tcW w:w="7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 of accumulated depreciation</w:t>
            </w:r>
          </w:p>
        </w:tc>
        <w:tc>
          <w:tcPr>
            <w:tcW w:w="4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57,783 </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4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 of accumulated amortization</w:t>
            </w:r>
          </w:p>
        </w:tc>
        <w:tc>
          <w:tcPr>
            <w:tcW w:w="4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3,899 </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4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10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76,079 </w:t>
            </w:r>
          </w:p>
        </w:tc>
        <w:tc>
          <w:tcPr>
            <w:tcW w:w="7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MEMBERS’ EQUITY</w:t>
            </w:r>
          </w:p>
        </w:tc>
        <w:tc>
          <w:tcPr>
            <w:tcW w:w="5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5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4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1,904 </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Line of credit</w:t>
            </w:r>
          </w:p>
        </w:tc>
        <w:tc>
          <w:tcPr>
            <w:tcW w:w="4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42,561 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44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46,640 </w:t>
            </w:r>
          </w:p>
        </w:tc>
        <w:tc>
          <w:tcPr>
            <w:tcW w:w="7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4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44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47,373 </w:t>
            </w:r>
          </w:p>
        </w:tc>
        <w:tc>
          <w:tcPr>
            <w:tcW w:w="7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10)</w:t>
            </w:r>
          </w:p>
        </w:tc>
        <w:tc>
          <w:tcPr>
            <w:tcW w:w="5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Members’ Equity</w:t>
            </w:r>
          </w:p>
        </w:tc>
        <w:tc>
          <w:tcPr>
            <w:tcW w:w="4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28,706 </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members’ equity</w:t>
            </w:r>
          </w:p>
        </w:tc>
        <w:tc>
          <w:tcPr>
            <w:tcW w:w="10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76,079 </w:t>
            </w:r>
          </w:p>
        </w:tc>
        <w:tc>
          <w:tcPr>
            <w:tcW w:w="7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color w:val="000000"/>
        </w:rPr>
      </w:pPr>
      <w:r>
        <w:rPr>
          <w:color w:val="000000"/>
        </w:rPr>
        <w:t>                </w:t>
      </w:r>
      <w:r>
        <w:rPr>
          <w:rFonts w:ascii="Times New Roman;serif" w:hAnsi="Times New Roman;serif"/>
          <w:b/>
          <w:color w:val="000000"/>
          <w:sz w:val="20"/>
        </w:rPr>
        <w:t>Exhibit 99.2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34"/>
        <w:gridCol w:w="1234"/>
        <w:gridCol w:w="1234"/>
        <w:gridCol w:w="1309"/>
        <w:gridCol w:w="3825"/>
        <w:gridCol w:w="969"/>
      </w:tblGrid>
      <w:tr>
        <w:trPr/>
        <w:tc>
          <w:tcPr>
            <w:tcW w:w="163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3825"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FLATROCK COMPRESSION HOLDINGS, LLC</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 OF OPERATIONS FOR THE THREE MONTHS ENDED MARCH 31, 2026</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(unaudited)</w:t>
            </w:r>
          </w:p>
        </w:tc>
      </w:tr>
      <w:tr>
        <w:trPr/>
        <w:tc>
          <w:tcPr>
            <w:tcW w:w="4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6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w:t>
            </w:r>
          </w:p>
        </w:tc>
        <w:tc>
          <w:tcPr>
            <w:tcW w:w="1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8,939 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Aftermarket services and parts</w:t>
            </w:r>
          </w:p>
        </w:tc>
        <w:tc>
          <w:tcPr>
            <w:tcW w:w="5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9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51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10,053 </w:t>
            </w:r>
          </w:p>
        </w:tc>
        <w:tc>
          <w:tcPr>
            <w:tcW w:w="9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revenues (excluding depreciation and amortization):</w:t>
            </w:r>
          </w:p>
        </w:tc>
        <w:tc>
          <w:tcPr>
            <w:tcW w:w="51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3,786 </w:t>
            </w:r>
          </w:p>
        </w:tc>
        <w:tc>
          <w:tcPr>
            <w:tcW w:w="9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5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5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2,454 </w:t>
            </w:r>
          </w:p>
        </w:tc>
        <w:tc>
          <w:tcPr>
            <w:tcW w:w="9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disposition of assets, net</w:t>
            </w:r>
          </w:p>
        </w:tc>
        <w:tc>
          <w:tcPr>
            <w:tcW w:w="5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51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7,763 </w:t>
            </w:r>
          </w:p>
        </w:tc>
        <w:tc>
          <w:tcPr>
            <w:tcW w:w="9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51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2,290 </w:t>
            </w:r>
          </w:p>
        </w:tc>
        <w:tc>
          <w:tcPr>
            <w:tcW w:w="9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expense:</w:t>
            </w:r>
          </w:p>
        </w:tc>
        <w:tc>
          <w:tcPr>
            <w:tcW w:w="6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5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5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9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51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w:t>
            </w:r>
          </w:p>
        </w:tc>
        <w:tc>
          <w:tcPr>
            <w:tcW w:w="9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51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9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5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13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1,437 </w:t>
            </w:r>
          </w:p>
        </w:tc>
        <w:tc>
          <w:tcPr>
            <w:tcW w:w="9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right"/>
        <w:rPr>
          <w:color w:val="000000"/>
        </w:rPr>
      </w:pPr>
      <w:r>
        <w:rPr>
          <w:color w:val="000000"/>
        </w:rPr>
        <w:t>                </w:t>
      </w:r>
      <w:r>
        <w:rPr>
          <w:rFonts w:ascii="Times New Roman;serif" w:hAnsi="Times New Roman;serif"/>
          <w:b/>
          <w:color w:val="000000"/>
          <w:sz w:val="20"/>
        </w:rPr>
        <w:t>Exhibit 99.2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45"/>
        <w:gridCol w:w="760"/>
        <w:gridCol w:w="760"/>
        <w:gridCol w:w="1481"/>
        <w:gridCol w:w="5059"/>
        <w:gridCol w:w="1100"/>
      </w:tblGrid>
      <w:tr>
        <w:trPr/>
        <w:tc>
          <w:tcPr>
            <w:tcW w:w="104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505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FLATROCK COMPRESSION HOLDINGS, LLC</w:t>
            </w:r>
          </w:p>
          <w:p>
            <w:pPr>
              <w:pStyle w:val="TableContents"/>
              <w:bidi w:val="0"/>
              <w:spacing w:lineRule="auto" w:line="288" w:before="0" w:after="0"/>
              <w:jc w:val="center"/>
              <w:rPr/>
            </w:pPr>
            <w:r>
              <w:rPr>
                <w:rFonts w:ascii="Times New Roman;serif" w:hAnsi="Times New Roman;serif"/>
                <w:b/>
                <w:color w:val="000000"/>
                <w:sz w:val="20"/>
              </w:rPr>
              <w:t>CONDENSED CONSOLIDATED STATEMENT OF CHANGES IN MEMBERS’</w:t>
            </w:r>
            <w:r>
              <w:rPr>
                <w:color w:val="000000"/>
              </w:rPr>
              <w:t xml:space="preserve"> </w:t>
            </w:r>
            <w:r>
              <w:rPr>
                <w:rFonts w:ascii="Times New Roman;serif" w:hAnsi="Times New Roman;serif"/>
                <w:b/>
                <w:color w:val="000000"/>
                <w:sz w:val="20"/>
              </w:rPr>
              <w:t>EQUITY FOR THE THREE MONTHS ENDED MARCH 31, 2026</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(unaudited)</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2026</w:t>
            </w:r>
          </w:p>
        </w:tc>
        <w:tc>
          <w:tcPr>
            <w:tcW w:w="14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28,900 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Membership units issued</w:t>
            </w:r>
          </w:p>
        </w:tc>
        <w:tc>
          <w:tcPr>
            <w:tcW w:w="6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members</w:t>
            </w:r>
          </w:p>
        </w:tc>
        <w:tc>
          <w:tcPr>
            <w:tcW w:w="6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1,437 </w:t>
            </w:r>
          </w:p>
        </w:tc>
        <w:tc>
          <w:tcPr>
            <w:tcW w:w="11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1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28,706 </w:t>
            </w:r>
          </w:p>
        </w:tc>
        <w:tc>
          <w:tcPr>
            <w:tcW w:w="11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color w:val="000000"/>
        </w:rPr>
      </w:pPr>
      <w:r>
        <w:rPr>
          <w:color w:val="000000"/>
        </w:rPr>
        <w:t>                </w:t>
      </w:r>
      <w:r>
        <w:rPr>
          <w:rFonts w:ascii="Times New Roman;serif" w:hAnsi="Times New Roman;serif"/>
          <w:b/>
          <w:color w:val="000000"/>
          <w:sz w:val="20"/>
        </w:rPr>
        <w:t>Exhibit 99.2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87"/>
        <w:gridCol w:w="1390"/>
        <w:gridCol w:w="1388"/>
        <w:gridCol w:w="1145"/>
        <w:gridCol w:w="3346"/>
        <w:gridCol w:w="849"/>
      </w:tblGrid>
      <w:tr>
        <w:trPr/>
        <w:tc>
          <w:tcPr>
            <w:tcW w:w="2087"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334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FLATROCK COMPRESSION HOLDINGS, LLC.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 OF CASH FLOWS FOR THE THREE MONTHS ENDED MARCH 31, 2026 </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(unaudited)</w:t>
            </w:r>
          </w:p>
        </w:tc>
      </w:tr>
      <w:tr>
        <w:trPr/>
        <w:tc>
          <w:tcPr>
            <w:tcW w:w="4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5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Adjustments to reconcile net income to net cash provided by operating activities:</w:t>
            </w:r>
          </w:p>
        </w:tc>
        <w:tc>
          <w:tcPr>
            <w:tcW w:w="5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4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the disposition of assets, net</w:t>
            </w:r>
          </w:p>
        </w:tc>
        <w:tc>
          <w:tcPr>
            <w:tcW w:w="4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8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4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4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8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4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Changes in operating assets and liabilities: </w:t>
            </w:r>
          </w:p>
        </w:tc>
        <w:tc>
          <w:tcPr>
            <w:tcW w:w="5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receivables</w:t>
            </w:r>
          </w:p>
        </w:tc>
        <w:tc>
          <w:tcPr>
            <w:tcW w:w="4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8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4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4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8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4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44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5,636 </w:t>
            </w:r>
          </w:p>
        </w:tc>
        <w:tc>
          <w:tcPr>
            <w:tcW w:w="8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5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4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(4,696)</w:t>
            </w:r>
          </w:p>
        </w:tc>
        <w:tc>
          <w:tcPr>
            <w:tcW w:w="8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disposition of assets, net</w:t>
            </w:r>
          </w:p>
        </w:tc>
        <w:tc>
          <w:tcPr>
            <w:tcW w:w="4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44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(4,687)</w:t>
            </w:r>
          </w:p>
        </w:tc>
        <w:tc>
          <w:tcPr>
            <w:tcW w:w="8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5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line of credit</w:t>
            </w:r>
          </w:p>
        </w:tc>
        <w:tc>
          <w:tcPr>
            <w:tcW w:w="4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12,420 </w:t>
            </w:r>
          </w:p>
        </w:tc>
        <w:tc>
          <w:tcPr>
            <w:tcW w:w="8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line of credit</w:t>
            </w:r>
          </w:p>
        </w:tc>
        <w:tc>
          <w:tcPr>
            <w:tcW w:w="4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(11,611)</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other long term liabilities</w:t>
            </w:r>
          </w:p>
        </w:tc>
        <w:tc>
          <w:tcPr>
            <w:tcW w:w="4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8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members</w:t>
            </w:r>
          </w:p>
        </w:tc>
        <w:tc>
          <w:tcPr>
            <w:tcW w:w="4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membership units issued</w:t>
            </w:r>
          </w:p>
        </w:tc>
        <w:tc>
          <w:tcPr>
            <w:tcW w:w="4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8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44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w:t>
            </w:r>
          </w:p>
        </w:tc>
        <w:tc>
          <w:tcPr>
            <w:tcW w:w="8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CHANGE IN CASH AND CASH EQUIVALENTS</w:t>
            </w:r>
          </w:p>
        </w:tc>
        <w:tc>
          <w:tcPr>
            <w:tcW w:w="44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8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BEGINNING OF PERIOD</w:t>
            </w:r>
          </w:p>
        </w:tc>
        <w:tc>
          <w:tcPr>
            <w:tcW w:w="4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END OF PERIOD</w:t>
            </w:r>
          </w:p>
        </w:tc>
        <w:tc>
          <w:tcPr>
            <w:tcW w:w="11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8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5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8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NON-CASH TRANSACTIONS:</w:t>
            </w:r>
          </w:p>
        </w:tc>
        <w:tc>
          <w:tcPr>
            <w:tcW w:w="5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assets acquired through a finance lease</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right"/>
        <w:rPr>
          <w:color w:val="000000"/>
        </w:rPr>
      </w:pPr>
      <w:r>
        <w:rPr>
          <w:color w:val="000000"/>
        </w:rPr>
        <w:t>                </w:t>
      </w:r>
      <w:r>
        <w:rPr>
          <w:rFonts w:ascii="Times New Roman;serif" w:hAnsi="Times New Roman;serif"/>
          <w:b/>
          <w:color w:val="000000"/>
          <w:sz w:val="20"/>
        </w:rPr>
        <w:t>Exhibit 99.2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69"/>
        <w:gridCol w:w="2873"/>
        <w:gridCol w:w="4063"/>
      </w:tblGrid>
      <w:tr>
        <w:trPr/>
        <w:tc>
          <w:tcPr>
            <w:tcW w:w="3269"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NATURAL GAS SERVICES GROUP, INC.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NOTES TO FINANCIAL STATEMENTS FOR THE THREE MONTHS ENDED MARCH 31, 2026</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(unaudited)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1.    Description of Business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Flatrock Compression Holdings, LLC (the “Company,” “Flatrock” “we,” “us” or “our”, a Delaware limited liability company), was formed on March 5, 2024, for the purpose of holding the assets and liabilities acquired through a business combination which was effective as of April 1, 2024. The business combination consisted of the acquisition all of the outstanding equity securities of the below entities (collectively, the “Acquired Companies”).</w:t>
      </w:r>
    </w:p>
    <w:p>
      <w:pPr>
        <w:pStyle w:val="TextBody"/>
        <w:bidi w:val="0"/>
        <w:spacing w:lineRule="auto" w:line="288" w:before="0" w:after="0"/>
        <w:jc w:val="both"/>
        <w:rPr/>
      </w:pPr>
      <w:r>
        <w:rPr>
          <w:color w:val="000000"/>
        </w:rPr>
        <w:t>•</w:t>
      </w:r>
      <w:r>
        <w:rPr>
          <w:rFonts w:ascii="Times New Roman;serif" w:hAnsi="Times New Roman;serif"/>
          <w:b w:val="false"/>
          <w:color w:val="000000"/>
          <w:sz w:val="20"/>
        </w:rPr>
        <w:t>Flatrock Compression, Ltd., a Texas limited partnership</w:t>
      </w:r>
    </w:p>
    <w:p>
      <w:pPr>
        <w:pStyle w:val="TextBody"/>
        <w:bidi w:val="0"/>
        <w:spacing w:lineRule="auto" w:line="288" w:before="0" w:after="0"/>
        <w:jc w:val="both"/>
        <w:rPr/>
      </w:pPr>
      <w:r>
        <w:rPr>
          <w:color w:val="000000"/>
        </w:rPr>
        <w:t>•</w:t>
      </w:r>
      <w:r>
        <w:rPr>
          <w:rFonts w:ascii="Times New Roman;serif" w:hAnsi="Times New Roman;serif"/>
          <w:b w:val="false"/>
          <w:color w:val="000000"/>
          <w:sz w:val="20"/>
        </w:rPr>
        <w:t>Liftrock, LLC (“Liftrock”), a Texas limited liability company wholly owned by Flatrock Compression, Ltd.</w:t>
      </w:r>
    </w:p>
    <w:p>
      <w:pPr>
        <w:pStyle w:val="TextBody"/>
        <w:bidi w:val="0"/>
        <w:spacing w:lineRule="auto" w:line="288" w:before="0" w:after="0"/>
        <w:jc w:val="both"/>
        <w:rPr/>
      </w:pPr>
      <w:r>
        <w:rPr>
          <w:color w:val="000000"/>
        </w:rPr>
        <w:t>•</w:t>
      </w:r>
      <w:r>
        <w:rPr>
          <w:rFonts w:ascii="Times New Roman;serif" w:hAnsi="Times New Roman;serif"/>
          <w:b w:val="false"/>
          <w:color w:val="000000"/>
          <w:sz w:val="20"/>
        </w:rPr>
        <w:t>FC GP, LLC (“FCGP”), a Texas limited liability company</w:t>
      </w:r>
    </w:p>
    <w:p>
      <w:pPr>
        <w:pStyle w:val="TextBody"/>
        <w:bidi w:val="0"/>
        <w:spacing w:lineRule="auto" w:line="288" w:before="0" w:after="0"/>
        <w:jc w:val="both"/>
        <w:rPr/>
      </w:pPr>
      <w:r>
        <w:rPr>
          <w:color w:val="000000"/>
        </w:rPr>
        <w:t>•</w:t>
      </w:r>
      <w:r>
        <w:rPr>
          <w:rFonts w:ascii="Times New Roman;serif" w:hAnsi="Times New Roman;serif"/>
          <w:b w:val="false"/>
          <w:color w:val="000000"/>
          <w:sz w:val="20"/>
        </w:rPr>
        <w:t>K-19 Partners LLC (“K-19”), a Delaware limited liability company</w:t>
      </w:r>
    </w:p>
    <w:p>
      <w:pPr>
        <w:pStyle w:val="TextBody"/>
        <w:bidi w:val="0"/>
        <w:spacing w:lineRule="auto" w:line="288" w:before="0" w:after="120"/>
        <w:jc w:val="both"/>
        <w:rPr/>
      </w:pPr>
      <w:r>
        <w:rPr>
          <w:color w:val="000000"/>
        </w:rPr>
        <w:t>•</w:t>
      </w:r>
      <w:r>
        <w:rPr>
          <w:rFonts w:ascii="Times New Roman;serif" w:hAnsi="Times New Roman;serif"/>
          <w:b w:val="false"/>
          <w:color w:val="000000"/>
          <w:sz w:val="20"/>
        </w:rPr>
        <w:t>FGP Capital, LLC (“FGP”), a Delaware limited liability company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business combination, there was no business activity conducted by the Company. The Acquired Companies collectively comprise the business activities of leasing compressors for oil and natural gas production and providing compressor repair and maintenance services. Liftrock, with its proprietary QuickSet skid, is also engaged in the business of leasing equipment. The Company operates in oil and gas producing areas primarily in Texas. Subsequent to the business combination, FCGP, K-19, and FGP were absorbed into Flatrock Compression Holdings, LLC.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Principals of Consolidation and Basis of Presentation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Consolidated Financial Statements were prepared in accordance with generally accepted accounting principles in the United States of America (“GAAP”) and include the accounts of Flatrock Compression Holdings, LLC, and those of the Acquired Companies. All significant intercompany accounts and transactions for the period presented have been eliminated in consolidation.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financial statements include all adjustments, consisting of normal recurring adjustments, considered necessary for the fair presentation of our financial position as of March 31, 2026, and the results of our operations for the three months ended March 31, 2026. The accompanying Condensed Consolidated Financial Statements do not include all disclosures normally required by GAAP. These financial statements should be read in conjunction with the Audited Consolidated Financial Statements for the year ended December 31, 2025 (Exhibit 99.1). In our opinion, the Condensed Consolidated Financial Statements provide a fair representation of our financial position, results of operations, changes in members’ equity and cash flows for the periods presented.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results of operations for the three months ended March 31, 2026 are not necessarily indicative of the results of operations to be expected for the full fiscal year ending December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3.    Trade Accounts Receivable</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trade accounts receivable from customers as March 31, 2026: </w:t>
      </w:r>
    </w:p>
    <w:tbl>
      <w:tblPr>
        <w:tblW w:w="3980" w:type="dxa"/>
        <w:jc w:val="left"/>
        <w:tblInd w:w="0" w:type="dxa"/>
        <w:tblLayout w:type="fixed"/>
        <w:tblCellMar>
          <w:top w:w="28" w:type="dxa"/>
          <w:left w:w="28" w:type="dxa"/>
          <w:bottom w:w="28" w:type="dxa"/>
          <w:right w:w="28" w:type="dxa"/>
        </w:tblCellMar>
      </w:tblPr>
      <w:tblGrid>
        <w:gridCol w:w="1086"/>
        <w:gridCol w:w="955"/>
        <w:gridCol w:w="958"/>
        <w:gridCol w:w="211"/>
        <w:gridCol w:w="616"/>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Less: Provision for credit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trade accounts receivable,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trade accounts receivable consist of customer obligations due under normal trade terms for operating leases for the use of our compressors and the sales of services and parts. We recorded a provision for credit losses of less than $0.1 million for the three months ended March 31, 2026. Management believes that the overall provision for credit losses is adequate; however, actual write-offs may exceed the recorded allowance.</w:t>
      </w:r>
    </w:p>
    <w:p>
      <w:pPr>
        <w:pStyle w:val="TextBody"/>
        <w:bidi w:val="0"/>
        <w:spacing w:before="0" w:after="12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right"/>
        <w:rPr>
          <w:color w:val="000000"/>
        </w:rPr>
      </w:pPr>
      <w:r>
        <w:rPr>
          <w:color w:val="000000"/>
        </w:rPr>
        <w:t>                </w:t>
      </w:r>
      <w:r>
        <w:rPr>
          <w:rFonts w:ascii="Times New Roman;serif" w:hAnsi="Times New Roman;serif"/>
          <w:b/>
          <w:color w:val="000000"/>
          <w:sz w:val="20"/>
        </w:rPr>
        <w:t>Exhibit 99.2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Major Customers and Concentration of Credit Risk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the Company had two customers whose consolidated revenues represented approximately 46% of total revenues. The total accounts receivable due from these customers as of March 31, 2026, was approximately 49% of total accounts receivable.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4.    Inventory</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our inventory, net of allowance for obsolescence as of March 31, 2026:</w:t>
      </w:r>
    </w:p>
    <w:tbl>
      <w:tblPr>
        <w:tblW w:w="3366" w:type="dxa"/>
        <w:jc w:val="left"/>
        <w:tblInd w:w="0" w:type="dxa"/>
        <w:tblLayout w:type="fixed"/>
        <w:tblCellMar>
          <w:top w:w="28" w:type="dxa"/>
          <w:left w:w="28" w:type="dxa"/>
          <w:bottom w:w="28" w:type="dxa"/>
          <w:right w:w="28" w:type="dxa"/>
        </w:tblCellMar>
      </w:tblPr>
      <w:tblGrid>
        <w:gridCol w:w="864"/>
        <w:gridCol w:w="757"/>
        <w:gridCol w:w="764"/>
        <w:gridCol w:w="211"/>
        <w:gridCol w:w="616"/>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supplies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obsolescence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5.    Property and Equipment</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property and equipment as of March 31, 2026:</w:t>
      </w:r>
    </w:p>
    <w:tbl>
      <w:tblPr>
        <w:tblW w:w="4311" w:type="dxa"/>
        <w:jc w:val="left"/>
        <w:tblInd w:w="0" w:type="dxa"/>
        <w:tblLayout w:type="fixed"/>
        <w:tblCellMar>
          <w:top w:w="28" w:type="dxa"/>
          <w:left w:w="28" w:type="dxa"/>
          <w:bottom w:w="28" w:type="dxa"/>
          <w:right w:w="28" w:type="dxa"/>
        </w:tblCellMar>
      </w:tblPr>
      <w:tblGrid>
        <w:gridCol w:w="1165"/>
        <w:gridCol w:w="1026"/>
        <w:gridCol w:w="1034"/>
        <w:gridCol w:w="211"/>
        <w:gridCol w:w="721"/>
        <w:gridCol w:w="154"/>
      </w:tblGrid>
      <w:tr>
        <w:trPr/>
        <w:tc>
          <w:tcPr>
            <w:tcW w:w="1165"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Compressor units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Work-in-progress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Land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and leasehold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Vehicles and other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57,783 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Depreciation expense for property and equipment was $2.1 million for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6.    Goodwill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goodwill asset arose in connection with business combination transaction described in Note 1. During the first quarter of 2026, there were no indicators of impairment of our goodwill asset.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7.    Intangible Assets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Intangible assets include customer relationships, tradenames for Flatrock and Liftrock and a patent for certain Liftrock technology. These acquired intangible assets were recorded at fair value determined in the business combination transaction described in Note 1. </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intangible assets, all of which are amortizable, as of March 31, 2026:</w:t>
      </w:r>
    </w:p>
    <w:tbl>
      <w:tblPr>
        <w:tblW w:w="3726" w:type="dxa"/>
        <w:jc w:val="left"/>
        <w:tblInd w:w="0" w:type="dxa"/>
        <w:tblLayout w:type="fixed"/>
        <w:tblCellMar>
          <w:top w:w="28" w:type="dxa"/>
          <w:left w:w="28" w:type="dxa"/>
          <w:bottom w:w="28" w:type="dxa"/>
          <w:right w:w="28" w:type="dxa"/>
        </w:tblCellMar>
      </w:tblPr>
      <w:tblGrid>
        <w:gridCol w:w="994"/>
        <w:gridCol w:w="874"/>
        <w:gridCol w:w="877"/>
        <w:gridCol w:w="211"/>
        <w:gridCol w:w="616"/>
        <w:gridCol w:w="154"/>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Tradenames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right"/>
        <w:rPr>
          <w:color w:val="000000"/>
        </w:rPr>
      </w:pPr>
      <w:r>
        <w:rPr>
          <w:color w:val="000000"/>
        </w:rPr>
        <w:t>                </w:t>
      </w:r>
      <w:r>
        <w:rPr>
          <w:rFonts w:ascii="Times New Roman;serif" w:hAnsi="Times New Roman;serif"/>
          <w:b/>
          <w:color w:val="000000"/>
          <w:sz w:val="20"/>
        </w:rPr>
        <w:t>Exhibit 99.2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Estimated amortization expense for our intangible assets for each of the subsequent five fiscal years ended December 31, and thereafter, is as follows:</w:t>
      </w:r>
    </w:p>
    <w:tbl>
      <w:tblPr>
        <w:tblW w:w="1927" w:type="dxa"/>
        <w:jc w:val="left"/>
        <w:tblInd w:w="0" w:type="dxa"/>
        <w:tblLayout w:type="fixed"/>
        <w:tblCellMar>
          <w:top w:w="28" w:type="dxa"/>
          <w:left w:w="28" w:type="dxa"/>
          <w:bottom w:w="28" w:type="dxa"/>
          <w:right w:w="28" w:type="dxa"/>
        </w:tblCellMar>
      </w:tblPr>
      <w:tblGrid>
        <w:gridCol w:w="342"/>
        <w:gridCol w:w="300"/>
        <w:gridCol w:w="304"/>
        <w:gridCol w:w="211"/>
        <w:gridCol w:w="61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Amortization expense for intangible assets was $0.4 million for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8.    Supplemental Balance Sheet Disclosures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other assets as of March 31, 2026:</w:t>
      </w:r>
    </w:p>
    <w:tbl>
      <w:tblPr>
        <w:tblW w:w="3216" w:type="dxa"/>
        <w:jc w:val="left"/>
        <w:tblInd w:w="0" w:type="dxa"/>
        <w:tblLayout w:type="fixed"/>
        <w:tblCellMar>
          <w:top w:w="28" w:type="dxa"/>
          <w:left w:w="28" w:type="dxa"/>
          <w:bottom w:w="28" w:type="dxa"/>
          <w:right w:w="28" w:type="dxa"/>
        </w:tblCellMar>
      </w:tblPr>
      <w:tblGrid>
        <w:gridCol w:w="808"/>
        <w:gridCol w:w="712"/>
        <w:gridCol w:w="715"/>
        <w:gridCol w:w="211"/>
        <w:gridCol w:w="616"/>
        <w:gridCol w:w="154"/>
      </w:tblGrid>
      <w:tr>
        <w:trPr/>
        <w:tc>
          <w:tcPr>
            <w:tcW w:w="80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assets, 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accrued liabilities as of March 31, 2026:</w:t>
      </w:r>
    </w:p>
    <w:tbl>
      <w:tblPr>
        <w:tblW w:w="2990" w:type="dxa"/>
        <w:jc w:val="left"/>
        <w:tblInd w:w="0" w:type="dxa"/>
        <w:tblLayout w:type="fixed"/>
        <w:tblCellMar>
          <w:top w:w="28" w:type="dxa"/>
          <w:left w:w="28" w:type="dxa"/>
          <w:bottom w:w="28" w:type="dxa"/>
          <w:right w:w="28" w:type="dxa"/>
        </w:tblCellMar>
      </w:tblPr>
      <w:tblGrid>
        <w:gridCol w:w="728"/>
        <w:gridCol w:w="638"/>
        <w:gridCol w:w="643"/>
        <w:gridCol w:w="211"/>
        <w:gridCol w:w="616"/>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purchases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9.    Line of Credit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had a credit and security agreement with Regions Bank to provide for a $75.0 million revolving line of credit maturing on April 1, 2027 (the “Credit Agreement”). The Credit Agreement permits borrowings up to the available credit or maximum borrowing base which is based on the valuation of certain assets and redetermined monthly. Borrowings are collateralized by substantially all assets of the Company, including a lien on all revenue, equipment, inventory, and deposit accounts. The line of credit requires monthly payments of interest based on the outstanding balance using the variable rate of 3.25% plus the daily simple Secured Overnight Financing Rate (“SOFR”) (effective rate of 6.76% at March 31, 2026).</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Credit Agreement provides for covenants, which among others, include restrictions on additional indebtedness and the maintenance of prescribed financial ratios. As of March 31, 2026, we were in compliance with all such covenants.</w:t>
      </w:r>
    </w:p>
    <w:p>
      <w:pPr>
        <w:pStyle w:val="TextBody"/>
        <w:bidi w:val="0"/>
        <w:spacing w:before="0" w:after="180"/>
        <w:ind w:left="0" w:right="0" w:firstLine="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right"/>
        <w:rPr>
          <w:color w:val="000000"/>
        </w:rPr>
      </w:pPr>
      <w:r>
        <w:rPr>
          <w:color w:val="000000"/>
        </w:rPr>
        <w:t>                </w:t>
      </w:r>
      <w:r>
        <w:rPr>
          <w:rFonts w:ascii="Times New Roman;serif" w:hAnsi="Times New Roman;serif"/>
          <w:b/>
          <w:color w:val="000000"/>
          <w:sz w:val="20"/>
        </w:rPr>
        <w:t>Exhibit 99.2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the outstanding balance under the Credit Agreement was $42.6 million. The balance is presented as a current liability as the Credit Agreement is subject to certain lockbox arrangements and subjective acceleration clauses that preclude long-term classification. In connection with the Credit Agreement, the Company incurred $0.3 million of debt issuance costs, which are presented in Prepaid expenses, and amortized over the term of the Credit Agreement using the effective interest rate method. As of March 31, 2026, the unamortized balance of the debt issue costs was approximately $0.1 million which is included in Prepaid expenses on the Consolidated Balance Sheet. Amortization of debt issuance costs of less than $0.1 million was reflected in interest expense for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10.    Commitments and Contingencies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are a party to various claims and legal proceedings arising from our operations in the ordinary course of our business. We are not currently a party to any material legal proceedings, and we are not aware of any threatened material litigation. While the outcome of any potential claims and legal proceedings against us cannot be predicted with certainty, we have concluded that it is not considered reasonably possible that a loss resulting from any such claims or proceedings in excess of any amounts accrued has been incurred that is expected to have a material adverse effect on our financial position, results of operations or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Times New Roman;serif" w:hAnsi="Times New Roman;serif"/>
          <w:b/>
          <w:color w:val="000000"/>
          <w:sz w:val="20"/>
        </w:rPr>
      </w:pPr>
      <w:r>
        <w:rPr>
          <w:rFonts w:ascii="Times New Roman;serif" w:hAnsi="Times New Roman;serif"/>
          <w:b/>
          <w:color w:val="000000"/>
          <w:sz w:val="20"/>
        </w:rPr>
        <w:t>11.    Members’ Equity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 had three classes of equity interests outstanding: Class A Units, Class B Units, and Class C Units.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Class A Units represent the Company’s primary equity ownership. The holders are entitled to voting, economic, and management rights. Holders of Class A Units are entitled to receive priority distributions, including return of capital and a cumulative annual preferred return of 10% on unreturned capital, prior to any participation by Class B or Class C Unit holders. As of March 31, 2026, a total of 32,728,920 Class A Units were issued and outstanding. The preferred return for Class A Units is calculated at 10% per annum on the unreturned capital contributions of the holders of Class A Units. The return accrues on a cumulative, non-compounding basis and is calculated from the date of capital contribution. Distributions of approximately $1.6 million were made to Class A Unitholders during the period ended March 31, 2026 consisting of return payments against the preferred return. There was no unpaid preferred return as of March 31, 2026.</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Class B Units are non-voting and represent profits interests issued to a single equity holder. The Class B Unit holder is entitled to distributions only after the return of capital and preferred return to Class A Unit holders and any applicable distributions to Class C Unit holders. As of March 31, 2026, 10,000 Class B Units were issued and outstanding.</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Class C Units are non-voting incentive units issued through the Company’s management equity plan. These interests are designed to align management’s interests with the long-term performance of the Company and may be granted to executives and other service providers, subject to approval by the Board. As of March 31, 2026, 200,000 Class C Units were issued and outstanding. Class C Units are subject to time and performance-based vesting terms, which are governed by individual award agreements. Unvested Class C Units may be forfeited upon certain termination events.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may repurchase vested Class C Units upon a change in control or other repurchase events. The Board is authorized to approve additional units for issuance under the plan in limited amounts, not to exceed 10% of the Company’s outstanding units. The Class C Units were granted with a participation threshold that requires the return of capital and a preferred return to other unitholders prior to any distributions being made in respect of the Class C Units. As of the grant date, any potential compensation cost of the Class C Units was determined not to be material due primarily to the threshold provisions and other rights and restrictions attached to the units. Accordingly, no stock-based compensation expense was recognized during the period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right"/>
        <w:rPr>
          <w:color w:val="000000"/>
        </w:rPr>
      </w:pPr>
      <w:r>
        <w:rPr>
          <w:color w:val="000000"/>
        </w:rPr>
        <w:t>                </w:t>
      </w:r>
      <w:r>
        <w:rPr>
          <w:rFonts w:ascii="Times New Roman;serif" w:hAnsi="Times New Roman;serif"/>
          <w:b/>
          <w:color w:val="000000"/>
          <w:sz w:val="20"/>
        </w:rPr>
        <w:t>Exhibit 99.2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60"/>
        <w:jc w:val="both"/>
        <w:rPr>
          <w:rFonts w:ascii="Times New Roman;serif" w:hAnsi="Times New Roman;serif"/>
          <w:b/>
          <w:color w:val="000000"/>
          <w:sz w:val="20"/>
        </w:rPr>
      </w:pPr>
      <w:r>
        <w:rPr>
          <w:rFonts w:ascii="Times New Roman;serif" w:hAnsi="Times New Roman;serif"/>
          <w:b/>
          <w:color w:val="000000"/>
          <w:sz w:val="20"/>
        </w:rPr>
        <w:t>12.    Subsequent Events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12, 2026, Flatrock, the holders of all of the membership interests of Flatrock (each, a “Seller” and, collectively, the “Sellers”), and Mule Deer Sky LLC, a Texas limited liability company, solely in its capacity as the Sellers Representative executed a Securities Purchase Agreement with Natural Gas Services Group, Inc. (“NGS”), whereby Flatrock was acquired by NGS (the “Acquisition”). NGS provided consideration to the Sellers of approximately $119 million in connection with the Acquisition including approximately $109 million in cash and unregistered shares of NGS common stock valued at $10 million. The cash consideration included approximately $45.7 million to settle the Company’s outstanding principal and interest obligations under the Credit Facility concurrent with the closing of the Acquisition.</w:t>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evaluated all events subsequent to the balance sheet date as of March 31, 2026 and through the date this report was issued and determined that, other than the acquisition by NGS, there have been no other events that would require adjustments or additional disclosures to our Consolidated Financial Statements.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color w:val="000000"/>
        </w:rPr>
      </w:pPr>
      <w:r>
        <w:rPr>
          <w:color w:val="000000"/>
        </w:rPr>
        <w:t>        </w:t>
      </w:r>
      <w:r>
        <w:rPr>
          <w:rFonts w:ascii="Times New Roman;serif" w:hAnsi="Times New Roman;serif"/>
          <w:b/>
          <w:color w:val="000000"/>
          <w:sz w:val="20"/>
        </w:rPr>
        <w:t>Exhibit 99.3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 PRO FORMA CONDENSED COMBINED FINANCIAL INFORMATION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unaudited pro forma condensed combined financial information has been derived from the historical consolidated financial statements of Natural Gas Services Group, Inc. (“Natural Gas Services Group,” “NGS,” the “Company,” “we,”“us” or “our”) and the historical financial statements of Flatrock Compression Holdings, LLC (“Flatrock”), as of and for the three months ended March 31, 2026 and for the year ended December 31, 2025, respectively.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12, 2026 (the “Acquisition Date”), we executed and closed a Securities Purchase Agreement (the “SPA”) with Flatrock , the holders of all of the membership interests of Flatrock (the “Sellers”) and Mule Deer Sky LLC, acting as the Sellers Representative, to acquire all of the issued and outstanding membership interests of Flatrock from the Sellers, including a current rented fleet of 87,233 horsepower, in exchange for (i) 241,803 shares of common stock, par value $0.01 per share of the Company (“Common Stock”), (ii) $108.9 million in cash, subject to customary post-closing adjustments, and (iii) the right to receive certain royalty payments pursuant to a royalty agreement (the “Acquisition”).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unaudited pro forma financial information gives effect to the Acquisition and includes the impacts of (a) the Acquisition, including the extinguishment of Flatrock’s outstanding debt, and (b) borrowings under the Company’s Amended and Restated Credit Agreement with Texas Capital Bank, as administrative agent, and the lenders party thereto (the “Credit Facility”) to fund the cash portion of the Acquisition consideration and other transaction costs (the “Financing”).</w:t>
      </w:r>
    </w:p>
    <w:p>
      <w:pPr>
        <w:pStyle w:val="TextBody"/>
        <w:bidi w:val="0"/>
        <w:spacing w:lineRule="auto" w:line="288" w:before="0" w:after="120"/>
        <w:ind w:left="0" w:right="0" w:firstLine="720"/>
        <w:jc w:val="both"/>
        <w:rPr/>
      </w:pPr>
      <w:r>
        <w:rPr>
          <w:rFonts w:ascii="Times New Roman;serif" w:hAnsi="Times New Roman;serif"/>
          <w:b w:val="false"/>
          <w:color w:val="000000"/>
          <w:sz w:val="20"/>
        </w:rPr>
        <w:t>The unaudited pro forma combined financial information related to the Acquisition has been prepared using the acquisition method of accounting in accordance with accounting principles generally accepted in the United States (“GAAP”). We have determined that Natural Gas Services Group was the acquirer for accounting purposes, and thus accounts for the Acquisition as a business combination in accordance with Accounting Standards Codification (“ASC”) Topic 805,</w:t>
      </w:r>
      <w:r>
        <w:rPr>
          <w:color w:val="000000"/>
        </w:rPr>
        <w:t xml:space="preserve"> </w:t>
      </w:r>
      <w:r>
        <w:rPr>
          <w:rFonts w:ascii="Times New Roman;serif" w:hAnsi="Times New Roman;serif"/>
          <w:b w:val="false"/>
          <w:i/>
          <w:color w:val="000000"/>
          <w:sz w:val="20"/>
        </w:rPr>
        <w:t>Business Combinations</w:t>
      </w:r>
      <w:r>
        <w:rPr>
          <w:color w:val="000000"/>
        </w:rPr>
        <w:t xml:space="preserve"> </w:t>
      </w:r>
      <w:r>
        <w:rPr>
          <w:rFonts w:ascii="Times New Roman;serif" w:hAnsi="Times New Roman;serif"/>
          <w:b w:val="false"/>
          <w:color w:val="000000"/>
          <w:sz w:val="20"/>
        </w:rPr>
        <w:t>(“ASC 805”). The preliminary allocation of the total purchase price in the Acquisition is based upon management’s estimates of and assumptions related to the fair value of assets acquired and liabilities assumed. Accordingly, the pro forma adjustments are preliminary and have been made solely for the purpose of providing unaudited pro forma condensed combined financial information and the final purchase price allocation and the resulting effect on our financial position and results of operations may differ significantly from the pro forma amounts included herein.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combined balance sheet as of March 31, 2026, gives effect to the Acquisition and the Financing as if they had occurred on March 31, 2026.</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combined statements of operations for the three months ended March 31, 2026, and for the year ended December 31, 2025, give effect to the Acquisition and the Financing as if they had occurred on January 1, 2025.</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combined balance sheet and the unaudited pro forma condensed combined statements of operations have been derived from and should be read in conjunction with the following financial statements, which are included as an exhibit to this Current Report or are included in our Form 10-K for the fiscal year ended December 31, 2025, or Form 10-Q for the quarter ended March 31, 2026:</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historical unaudited condensed consolidated financial statements and the related notes of Natural Gas Services Group as of and for the three months ended March 31, 2026, which are included in our Quarterly Report on Form 10-Q for the quarter ended March 31, 2026 filed with the Securities and Exchange Commission (“SEC”) on May 11, 2026;</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historical audited consolidated financial statements and the related notes of Natural Gas Services Group for the year ended December 31, 2025, which are included in our Annual Report on Form 10-K for the year ended December 31, 2025 filed with the SEC on March 16, 2026;</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historical unaudited condensed consolidated financial statements and the related notes of Flatrock as of and for the three months ended March 31, 2026, which are included as Exhibit 99.2 to this Current Report;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historical audited consolidated financial statements and the related notes of Flatrock for the year ended December 31, 2025, which are included as Exhibit 99.1 to this Current Report.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unaudited pro forma condensed combined financial information has been prepared in accordance with Article 11 of Regulation S-X as amended by the final rule, Release No. 33-10786, “Amendments to Financial Disclosures about Acquired and Disposed Businesses.”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pro forma adjustments are based on available information and upon assumptions that we believes are reasonable under the circumstances to reflect, on a pro forma basis, the effect of the Acquisition and the Financing as described above. The adjustments are described in the notes to the unaudited pro forma condensed combined balance sheet and the unaudited pro forma condensed combined statements of operations.</w:t>
      </w:r>
    </w:p>
    <w:p>
      <w:pPr>
        <w:pStyle w:val="TextBody"/>
        <w:bidi w:val="0"/>
        <w:spacing w:before="0" w:after="120"/>
        <w:ind w:left="0" w:right="0" w:firstLine="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color w:val="000000"/>
        </w:rPr>
      </w:pPr>
      <w:r>
        <w:rPr>
          <w:color w:val="000000"/>
        </w:rPr>
        <w:t>        </w:t>
      </w:r>
      <w:r>
        <w:rPr>
          <w:rFonts w:ascii="Times New Roman;serif" w:hAnsi="Times New Roman;serif"/>
          <w:b/>
          <w:color w:val="000000"/>
          <w:sz w:val="20"/>
        </w:rPr>
        <w:t>Exhibit 99.3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combined financial information is included for informational purposes only. The unaudited pro forma condensed combined financial information should not be relied upon as being indicative of our results of operations or financial condition had the Acquisition and Financing occurred on the dates assumed. The unaudited pro forma condensed combined financial information also does not project our results of operations or financial position for any future period or date, including, but not limited to, the anticipated realization of ongoing savings from potential operating efficiencies, asset dispositions, cost savings, or economies of scale that the combined company may achieve with respect to the combined operations. A number of factors may affect the results. Specifically, the unaudited pro forma condensed combined statements of operations does not include projected synergies expected to be achieved as a result of the Acquisition and any associated costs that may be required to be incurred to achieve the identified synergies. The unaudited proforma condensed combined statements of operations also exclude the effects of costs of integration activities and any asset dispositions that may result from the Acquisition. The unaudited pro forma condensed combined statements of operations and balance sheet should be read in conjunction with the “Risk Factors,” “Management’s Discussion and Analysis of Financial Condition and Results of Operations,”our consolidated financial statements and related notes and other sections of our Annual Report on Form 10-K for the year ended December 31, 2025, our Current Report on Form10-Q for the quarter ended March 31, 2026, and Flatrock’s financial statements and related notes included as exhibits to this Current Report.</w:t>
      </w:r>
    </w:p>
    <w:p>
      <w:pPr>
        <w:pStyle w:val="TextBody"/>
        <w:bidi w:val="0"/>
        <w:spacing w:lineRule="auto" w:line="288" w:before="0" w:after="120"/>
        <w:ind w:left="0" w:right="0" w:firstLine="72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color w:val="000000"/>
        </w:rPr>
      </w:pPr>
      <w:r>
        <w:rPr>
          <w:color w:val="000000"/>
        </w:rPr>
        <w:t>        </w:t>
      </w:r>
      <w:r>
        <w:rPr>
          <w:rFonts w:ascii="Times New Roman;serif" w:hAnsi="Times New Roman;serif"/>
          <w:b/>
          <w:color w:val="000000"/>
          <w:sz w:val="20"/>
        </w:rPr>
        <w:t>Exhibit 99.3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19"/>
        <w:gridCol w:w="436"/>
        <w:gridCol w:w="421"/>
        <w:gridCol w:w="239"/>
        <w:gridCol w:w="938"/>
        <w:gridCol w:w="123"/>
        <w:gridCol w:w="109"/>
        <w:gridCol w:w="109"/>
        <w:gridCol w:w="109"/>
        <w:gridCol w:w="266"/>
        <w:gridCol w:w="910"/>
        <w:gridCol w:w="139"/>
        <w:gridCol w:w="109"/>
        <w:gridCol w:w="109"/>
        <w:gridCol w:w="109"/>
        <w:gridCol w:w="241"/>
        <w:gridCol w:w="979"/>
        <w:gridCol w:w="125"/>
        <w:gridCol w:w="109"/>
        <w:gridCol w:w="109"/>
        <w:gridCol w:w="109"/>
        <w:gridCol w:w="242"/>
        <w:gridCol w:w="948"/>
        <w:gridCol w:w="125"/>
        <w:gridCol w:w="109"/>
        <w:gridCol w:w="109"/>
        <w:gridCol w:w="109"/>
        <w:gridCol w:w="254"/>
        <w:gridCol w:w="996"/>
        <w:gridCol w:w="196"/>
      </w:tblGrid>
      <w:tr>
        <w:trPr/>
        <w:tc>
          <w:tcPr>
            <w:tcW w:w="131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 CONDENSED COMBINED BALANCE SHEET AS OF MARCH 31, 2026</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ableContents"/>
              <w:bidi w:val="0"/>
              <w:spacing w:before="0" w:after="0"/>
              <w:jc w:val="center"/>
              <w:rPr/>
            </w:pPr>
            <w:r>
              <w:rPr/>
            </w:r>
          </w:p>
        </w:tc>
      </w:tr>
      <w:tr>
        <w:trPr/>
        <w:tc>
          <w:tcPr>
            <w:tcW w:w="2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Natural Gas Services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Flatrock Compression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 Forma Transaction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 Forma Financing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Natural Gas Services Group, Inc. Pro Forma</w:t>
            </w:r>
          </w:p>
        </w:tc>
      </w:tr>
      <w:tr>
        <w:trPr/>
        <w:tc>
          <w:tcPr>
            <w:tcW w:w="2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(111,983)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A,B</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C</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 net</w:t>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A</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net</w:t>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A</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 and prepayments</w:t>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A</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for sale</w:t>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63,069 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10,315 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(112,353)</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112,000 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73,031 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515,021 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57,783 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52,524 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A</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625,328 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A</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A</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A</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588,915 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76,079 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(64,553)</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112,000 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712,441 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STOCKHOLDERS’/MEMBERS’ EQUITY</w:t>
            </w:r>
          </w:p>
        </w:tc>
        <w:tc>
          <w:tcPr>
            <w:tcW w:w="13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A</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A</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Line of credit</w:t>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42,561 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(42,561)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A</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23,334 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46,640 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(42,918)</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27,056 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C</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54,653 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A</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54,968 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A</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308,381 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47,373 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(42,575)</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112,000 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425,179 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Stockholders’/Members’ Equity</w:t>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Members’ equity</w:t>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A</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A</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121,261 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A</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131,258 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174,138 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B</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170,867 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w:t>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stockholders’/members’ equity</w:t>
            </w:r>
          </w:p>
        </w:tc>
        <w:tc>
          <w:tcPr>
            <w:tcW w:w="11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280,534 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28,706 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(21,978)</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287,262 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588,915 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76,079 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(64,553)</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112,000 </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712,441 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Note 2 for a description of the Pro Forma Transaction and Pro Forma Financing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color w:val="000000"/>
        </w:rPr>
      </w:pPr>
      <w:r>
        <w:rPr>
          <w:color w:val="000000"/>
        </w:rPr>
        <w:t>        </w:t>
      </w:r>
      <w:r>
        <w:rPr>
          <w:rFonts w:ascii="Times New Roman;serif" w:hAnsi="Times New Roman;serif"/>
          <w:b/>
          <w:color w:val="000000"/>
          <w:sz w:val="20"/>
        </w:rPr>
        <w:t>Exhibit 99.3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07"/>
        <w:gridCol w:w="520"/>
        <w:gridCol w:w="523"/>
        <w:gridCol w:w="259"/>
        <w:gridCol w:w="885"/>
        <w:gridCol w:w="133"/>
        <w:gridCol w:w="123"/>
        <w:gridCol w:w="123"/>
        <w:gridCol w:w="123"/>
        <w:gridCol w:w="440"/>
        <w:gridCol w:w="812"/>
        <w:gridCol w:w="143"/>
        <w:gridCol w:w="123"/>
        <w:gridCol w:w="123"/>
        <w:gridCol w:w="123"/>
        <w:gridCol w:w="465"/>
        <w:gridCol w:w="763"/>
        <w:gridCol w:w="153"/>
        <w:gridCol w:w="123"/>
        <w:gridCol w:w="123"/>
        <w:gridCol w:w="123"/>
        <w:gridCol w:w="401"/>
        <w:gridCol w:w="818"/>
        <w:gridCol w:w="137"/>
        <w:gridCol w:w="123"/>
        <w:gridCol w:w="123"/>
        <w:gridCol w:w="123"/>
        <w:gridCol w:w="281"/>
        <w:gridCol w:w="963"/>
        <w:gridCol w:w="226"/>
      </w:tblGrid>
      <w:tr>
        <w:trPr/>
        <w:tc>
          <w:tcPr>
            <w:tcW w:w="807"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PRO FORMA CONDENSED COMBINED STATEMENT OF OPERATIONS FOR THE THREE MONTHS ENDED MARCH 31, 2026</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per share amounts)</w:t>
            </w:r>
          </w:p>
        </w:tc>
      </w:tr>
      <w:tr>
        <w:trPr/>
        <w:tc>
          <w:tcPr>
            <w:tcW w:w="1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Natural Gas Services Group, Inc.</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Flatrock Compression Holdings LLC</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 Forma Transaction Adjustments</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 Forma Financing Adjustments</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Natural Gas Services Group, Inc. Pro Forma</w:t>
            </w:r>
          </w:p>
        </w:tc>
      </w:tr>
      <w:tr>
        <w:trPr/>
        <w:tc>
          <w:tcPr>
            <w:tcW w:w="1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2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47,115 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56,054 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aftermarket services</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1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48,467 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10,053 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58,520 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revenues (excluding depreciation and amortization)</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A</w:t>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of rental equipment</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disposition of assets, net</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35,394 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7,763 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42,904 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13,073 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15,616 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B</w:t>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B</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(5,848)</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11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(4,154)</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(5,988)</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8,919 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1,060 </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9,628 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C</w:t>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C</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6,763 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7,599 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w:t>
            </w:r>
          </w:p>
        </w:tc>
        <w:tc>
          <w:tcPr>
            <w:tcW w:w="12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shares outstanding:</w:t>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A</w:t>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A</w:t>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Note 3 for a description of the Pro Forma Transaction and Pro Forma Financing adjustments.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right"/>
        <w:rPr>
          <w:color w:val="000000"/>
        </w:rPr>
      </w:pPr>
      <w:r>
        <w:rPr>
          <w:color w:val="000000"/>
        </w:rPr>
        <w:t>        </w:t>
      </w:r>
      <w:r>
        <w:rPr>
          <w:rFonts w:ascii="Times New Roman;serif" w:hAnsi="Times New Roman;serif"/>
          <w:b/>
          <w:color w:val="000000"/>
          <w:sz w:val="20"/>
        </w:rPr>
        <w:t>Exhibit 99.3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862"/>
        <w:gridCol w:w="473"/>
        <w:gridCol w:w="478"/>
        <w:gridCol w:w="249"/>
        <w:gridCol w:w="975"/>
        <w:gridCol w:w="128"/>
        <w:gridCol w:w="119"/>
        <w:gridCol w:w="119"/>
        <w:gridCol w:w="119"/>
        <w:gridCol w:w="337"/>
        <w:gridCol w:w="904"/>
        <w:gridCol w:w="136"/>
        <w:gridCol w:w="119"/>
        <w:gridCol w:w="119"/>
        <w:gridCol w:w="119"/>
        <w:gridCol w:w="403"/>
        <w:gridCol w:w="818"/>
        <w:gridCol w:w="141"/>
        <w:gridCol w:w="119"/>
        <w:gridCol w:w="119"/>
        <w:gridCol w:w="119"/>
        <w:gridCol w:w="392"/>
        <w:gridCol w:w="813"/>
        <w:gridCol w:w="135"/>
        <w:gridCol w:w="119"/>
        <w:gridCol w:w="119"/>
        <w:gridCol w:w="119"/>
        <w:gridCol w:w="268"/>
        <w:gridCol w:w="1052"/>
        <w:gridCol w:w="213"/>
      </w:tblGrid>
      <w:tr>
        <w:trPr/>
        <w:tc>
          <w:tcPr>
            <w:tcW w:w="86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PRO FORMA CONDENSED COMBINED STATEMENT OF OPERATIONS FOR THE YEAR ENDED DECEMBER 31, 2025</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per share amounts)</w:t>
            </w:r>
          </w:p>
        </w:tc>
      </w:tr>
      <w:tr>
        <w:trPr/>
        <w:tc>
          <w:tcPr>
            <w:tcW w:w="1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Natural Gas Services Group, Inc.</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Flatrock Compression Holdings LLC</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 Forma Transaction Adjustments</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 Forma Financing Adjustments</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Natural Gas Services Group, Inc. Pro Forma</w:t>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164,326 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196,552 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aftermarket services</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2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172,315 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38,819 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211,134 </w:t>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revenues (excluding depreciation and amortization)</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71,778 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88,075 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D</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A</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45,458 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allowance</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of rental equipment</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disposition of assets, net</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2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135,017 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32,900 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169,219 </w:t>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2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37,298 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5,919 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41,915 </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B</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B</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(20,845)</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12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(10,767)</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(3,338)</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(7,280)</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(18,319)</w:t>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2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26,531 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(7,280)</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23,596 </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C</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C</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19,928 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(5,751)</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18,024 </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w:t>
            </w:r>
          </w:p>
        </w:tc>
        <w:tc>
          <w:tcPr>
            <w:tcW w:w="13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shares outstanding:</w:t>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A</w:t>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A</w:t>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Note 3 for a description of the Pro Forma Transaction and Pro Forma Financing adjustments.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right"/>
        <w:rPr>
          <w:color w:val="000000"/>
        </w:rPr>
      </w:pPr>
      <w:r>
        <w:rPr>
          <w:color w:val="000000"/>
        </w:rPr>
        <w:t>        </w:t>
      </w:r>
      <w:r>
        <w:rPr>
          <w:rFonts w:ascii="Times New Roman;serif" w:hAnsi="Times New Roman;serif"/>
          <w:b/>
          <w:color w:val="000000"/>
          <w:sz w:val="20"/>
        </w:rPr>
        <w:t>Exhibit 99.3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9045" w:type="dxa"/>
        <w:jc w:val="left"/>
        <w:tblInd w:w="0" w:type="dxa"/>
        <w:tblLayout w:type="fixed"/>
        <w:tblCellMar>
          <w:top w:w="28" w:type="dxa"/>
          <w:left w:w="28" w:type="dxa"/>
          <w:bottom w:w="28" w:type="dxa"/>
          <w:right w:w="28" w:type="dxa"/>
        </w:tblCellMar>
      </w:tblPr>
      <w:tblGrid>
        <w:gridCol w:w="2894"/>
        <w:gridCol w:w="2547"/>
        <w:gridCol w:w="3604"/>
      </w:tblGrid>
      <w:tr>
        <w:trPr/>
        <w:tc>
          <w:tcPr>
            <w:tcW w:w="2894"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3604" w:type="dxa"/>
            <w:tcBorders/>
            <w:vAlign w:val="center"/>
          </w:tcPr>
          <w:p>
            <w:pPr>
              <w:pStyle w:val="TableContents"/>
              <w:bidi w:val="0"/>
              <w:spacing w:before="0" w:after="283"/>
              <w:jc w:val="left"/>
              <w:rPr>
                <w:sz w:val="4"/>
                <w:szCs w:val="4"/>
              </w:rPr>
            </w:pPr>
            <w:r>
              <w:rPr>
                <w:sz w:val="4"/>
                <w:szCs w:val="4"/>
              </w:rPr>
            </w:r>
          </w:p>
        </w:tc>
      </w:tr>
      <w:tr>
        <w:trPr/>
        <w:tc>
          <w:tcPr>
            <w:tcW w:w="90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NOTES TO THE UNAUDITED PRO FORMA CONDENSED COMBINED FINANCIAL INFORMATION </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per share amounts or where otherwise indicated)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1.    Basis of Presentation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combined financial information has been prepared in accordance with Article 11 of Regulation S-X to reflect the Acquisition and the Financing. The unaudited pro forma condensed combined financial information presents the pro forma financial condition and results of operations of Natural Gas Services Group based upon the historical financial information of the Company and Flatrock after giving effect to the Acquisition and the Financing and related adjustments as set forth in the notes to the unaudited pro forma condensed combined financial information.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combined financial information does not reflect any management adjustments for expected effects of the Acquisition, including any costs savings from potential operating efficiencies, or associated costs incurred to achieve such savings, and for synergies that are expected to result from the Acquisition; nor does it include any costs associated with integration activities resulting from the Acquisition to the extent they arise. However, such costs could affect us following the closing of the Acquisition in the period the costs are incurred.</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combined balance sheet as of March 31, 2026, gives effect to the Acquisition and the Financing as if they had occurred on March 31, 2026.</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combined statements of operations for the three months ended March 31, 2026 and for the year ended December 31, 2025, gives effect to the Acquisition and the Financing as if they had occurred on January 1, 2025.</w:t>
      </w:r>
    </w:p>
    <w:p>
      <w:pPr>
        <w:pStyle w:val="TextBody"/>
        <w:bidi w:val="0"/>
        <w:spacing w:lineRule="auto" w:line="288" w:before="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Acquisition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12, 2026, we completed the transaction contemplated by the SPA, whereby we purchased all of the issued and outstanding membership interests in Flatrock from the Sellers for consideration consisting of (i) aggregate cash consideration of $108.9 million paid on the Acquisition Date, (ii) 241,803 shares of the Company’s common stock, par value $0.01 per share (“Common Stock”), issued on the Acquisition Date (such shares of Common Stock, the “Stock Consideration”) and (iii) contingent consideration of approximately $0.1 million.</w:t>
      </w:r>
    </w:p>
    <w:p>
      <w:pPr>
        <w:pStyle w:val="TextBody"/>
        <w:bidi w:val="0"/>
        <w:spacing w:lineRule="auto" w:line="288" w:before="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Financing</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funded the cash consideration for the Acquisition from borrowings under the Credit Facility. Our Credit Facility provides for loans with rates based on a Base Rate or Term Secured Overnight Financing Rate (“SOFR”), as defined in the Credit Facility, plus an applicable margin ranging from 1.50% to 2.25% for Base Rate loans or 2.50% to 3.25% depending on the leverage ratio as of the most recently ended quarter. In connection with borrowings for the Acquisition, we assumed borrowings that, as of the Acquisition Date, had an applicable interest rate of 6.5%.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right"/>
        <w:rPr>
          <w:color w:val="000000"/>
        </w:rPr>
      </w:pPr>
      <w:r>
        <w:rPr>
          <w:color w:val="000000"/>
        </w:rPr>
        <w:t>        </w:t>
      </w:r>
      <w:r>
        <w:rPr>
          <w:rFonts w:ascii="Times New Roman;serif" w:hAnsi="Times New Roman;serif"/>
          <w:b/>
          <w:color w:val="000000"/>
          <w:sz w:val="20"/>
        </w:rPr>
        <w:t>Exhibit 99.3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2.    Notes to Unaudited Pro Forma Condensed Combined Balance Sheet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adjustments were made related to the unaudited pro forma condensed combined balance sheet as of March 31, 2026. Actual results may differ materially from the assumptions and estimates contained herein.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pro forma adjustments are based on currently available information and certain estimates and assumptions that the Company believes provide a reasonable basis for presenting the significant effects of (i) the Acquisition and (ii) the Financing. General descriptions of the pro forma adjustments are as follows:</w:t>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    Reflects the purchase price allocation adjustments to record Flatrock’s assets and liabilities at estimated fair value based on the consideration conveyed, as detailed below.</w:t>
      </w:r>
    </w:p>
    <w:tbl>
      <w:tblPr>
        <w:tblW w:w="5916" w:type="dxa"/>
        <w:jc w:val="left"/>
        <w:tblInd w:w="0" w:type="dxa"/>
        <w:tblLayout w:type="fixed"/>
        <w:tblCellMar>
          <w:top w:w="28" w:type="dxa"/>
          <w:left w:w="28" w:type="dxa"/>
          <w:bottom w:w="28" w:type="dxa"/>
          <w:right w:w="28" w:type="dxa"/>
        </w:tblCellMar>
      </w:tblPr>
      <w:tblGrid>
        <w:gridCol w:w="1704"/>
        <w:gridCol w:w="1497"/>
        <w:gridCol w:w="1524"/>
        <w:gridCol w:w="211"/>
        <w:gridCol w:w="826"/>
        <w:gridCol w:w="154"/>
      </w:tblGrid>
      <w:tr>
        <w:trPr/>
        <w:tc>
          <w:tcPr>
            <w:tcW w:w="1704"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Cash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consideration (241,803 shares of Common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consideration</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118,980 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Times New Roman;serif" w:hAnsi="Times New Roman;serif"/>
          <w:b w:val="false"/>
          <w:color w:val="000000"/>
          <w:sz w:val="13"/>
        </w:rPr>
        <w:t>(1)    </w:t>
      </w:r>
      <w:r>
        <w:rPr>
          <w:rFonts w:ascii="Times New Roman;serif" w:hAnsi="Times New Roman;serif"/>
          <w:b w:val="false"/>
          <w:color w:val="000000"/>
          <w:sz w:val="20"/>
        </w:rPr>
        <w:t>Includes $45.7 million to repay Flatrock’s outstanding debt.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preliminary purchase price allocation is as follows:</w:t>
      </w:r>
    </w:p>
    <w:tbl>
      <w:tblPr>
        <w:tblW w:w="3471" w:type="dxa"/>
        <w:jc w:val="left"/>
        <w:tblInd w:w="0" w:type="dxa"/>
        <w:tblLayout w:type="fixed"/>
        <w:tblCellMar>
          <w:top w:w="28" w:type="dxa"/>
          <w:left w:w="28" w:type="dxa"/>
          <w:bottom w:w="28" w:type="dxa"/>
          <w:right w:w="28" w:type="dxa"/>
        </w:tblCellMar>
      </w:tblPr>
      <w:tblGrid>
        <w:gridCol w:w="826"/>
        <w:gridCol w:w="725"/>
        <w:gridCol w:w="729"/>
        <w:gridCol w:w="211"/>
        <w:gridCol w:w="826"/>
        <w:gridCol w:w="154"/>
      </w:tblGrid>
      <w:tr>
        <w:trPr/>
        <w:tc>
          <w:tcPr>
            <w:tcW w:w="82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Property and equipment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Intangible assets </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Right of use assets </w:t>
            </w:r>
            <w:r>
              <w:rPr>
                <w:rFonts w:ascii="Times New Roman;serif" w:hAnsi="Times New Roman;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Current liabilities </w:t>
            </w:r>
            <w:r>
              <w:rPr>
                <w:rFonts w:ascii="Times New Roman;serif" w:hAnsi="Times New Roman;serif"/>
                <w:b w:val="false"/>
                <w:color w:val="000000"/>
                <w:sz w:val="13"/>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Noncurrent liabilities </w:t>
            </w:r>
            <w:r>
              <w:rPr>
                <w:rFonts w:ascii="Times New Roman;serif" w:hAnsi="Times New Roman;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consideration</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118,980 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13"/>
        </w:rPr>
        <w:t>(1)    </w:t>
      </w:r>
      <w:r>
        <w:rPr>
          <w:rFonts w:ascii="Times New Roman;serif" w:hAnsi="Times New Roman;serif"/>
          <w:b w:val="false"/>
          <w:color w:val="000000"/>
          <w:sz w:val="20"/>
        </w:rPr>
        <w:t>Substantially all of the fair value of property and equipment is attributable to compressors and related equipment. The estimated weighted-average remaining useful life of the compression assets was 14.8 years.</w:t>
      </w:r>
    </w:p>
    <w:p>
      <w:pPr>
        <w:pStyle w:val="TextBody"/>
        <w:bidi w:val="0"/>
        <w:spacing w:lineRule="auto" w:line="288" w:before="0" w:after="0"/>
        <w:ind w:left="0" w:right="0" w:hanging="360"/>
        <w:jc w:val="both"/>
        <w:rPr/>
      </w:pPr>
      <w:r>
        <w:rPr>
          <w:rFonts w:ascii="Times New Roman;serif" w:hAnsi="Times New Roman;serif"/>
          <w:b w:val="false"/>
          <w:color w:val="000000"/>
          <w:sz w:val="13"/>
        </w:rPr>
        <w:t>(2)</w:t>
      </w:r>
      <w:r>
        <w:rPr>
          <w:color w:val="000000"/>
        </w:rPr>
        <w:t>    </w:t>
      </w:r>
      <w:r>
        <w:rPr>
          <w:rFonts w:ascii="Times New Roman;serif" w:hAnsi="Times New Roman;serif"/>
          <w:b w:val="false"/>
          <w:color w:val="000000"/>
          <w:sz w:val="20"/>
        </w:rPr>
        <w:t>Intangible assets include the following:</w:t>
      </w:r>
    </w:p>
    <w:tbl>
      <w:tblPr>
        <w:tblW w:w="6177" w:type="dxa"/>
        <w:jc w:val="left"/>
        <w:tblInd w:w="0" w:type="dxa"/>
        <w:tblLayout w:type="fixed"/>
        <w:tblCellMar>
          <w:top w:w="28" w:type="dxa"/>
          <w:left w:w="28" w:type="dxa"/>
          <w:bottom w:w="28" w:type="dxa"/>
          <w:right w:w="28" w:type="dxa"/>
        </w:tblCellMar>
      </w:tblPr>
      <w:tblGrid>
        <w:gridCol w:w="717"/>
        <w:gridCol w:w="630"/>
        <w:gridCol w:w="632"/>
        <w:gridCol w:w="274"/>
        <w:gridCol w:w="605"/>
        <w:gridCol w:w="141"/>
        <w:gridCol w:w="339"/>
        <w:gridCol w:w="339"/>
        <w:gridCol w:w="341"/>
        <w:gridCol w:w="631"/>
        <w:gridCol w:w="631"/>
        <w:gridCol w:w="897"/>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Description</w:t>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Fair Value</w:t>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Useful Life</w:t>
            </w:r>
          </w:p>
        </w:tc>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Valuation Methodology</w:t>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Tradename</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 years</w:t>
            </w:r>
          </w:p>
        </w:tc>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Relief from royalty</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 years</w:t>
            </w:r>
          </w:p>
        </w:tc>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Relief from royalty</w:t>
            </w:r>
          </w:p>
        </w:tc>
      </w:tr>
    </w:tbl>
    <w:p>
      <w:pPr>
        <w:pStyle w:val="TextBody"/>
        <w:bidi w:val="0"/>
        <w:spacing w:lineRule="auto" w:line="288" w:before="0" w:after="120"/>
        <w:ind w:left="0" w:right="0" w:hanging="360"/>
        <w:jc w:val="both"/>
        <w:rPr/>
      </w:pPr>
      <w:r>
        <w:rPr>
          <w:rFonts w:ascii="Times New Roman;serif" w:hAnsi="Times New Roman;serif"/>
          <w:b w:val="false"/>
          <w:color w:val="000000"/>
          <w:sz w:val="13"/>
        </w:rPr>
        <w:t>(3)    </w:t>
      </w:r>
      <w:r>
        <w:rPr>
          <w:rFonts w:ascii="Times New Roman;serif" w:hAnsi="Times New Roman;serif"/>
          <w:b w:val="false"/>
          <w:color w:val="000000"/>
          <w:sz w:val="20"/>
        </w:rPr>
        <w:t>Includes adjustments attributable to Flatrock’s finance lease assets and liabilities for approximately $0.1 million, respectively.</w:t>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    Reflects the payment of $3.3 million attributable to our transaction costs including legal, due diligence, valuation, accounting and other related costs incurred after the financial statements presented.</w:t>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    Reflects borrowings under the Credit Facility to finance the cash portion of the Acquisition and related transactions, including $42.6 million to repay Flatrock’s outstanding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right"/>
        <w:rPr>
          <w:color w:val="000000"/>
        </w:rPr>
      </w:pPr>
      <w:r>
        <w:rPr>
          <w:color w:val="000000"/>
        </w:rPr>
        <w:t>        </w:t>
      </w:r>
      <w:r>
        <w:rPr>
          <w:rFonts w:ascii="Times New Roman;serif" w:hAnsi="Times New Roman;serif"/>
          <w:b/>
          <w:color w:val="000000"/>
          <w:sz w:val="20"/>
        </w:rPr>
        <w:t>Exhibit 99.3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3.    Notes to Unaudited Pro Forma Condensed Combined Statements of Operations</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adjustments were made related to the unaudited pro forma condensed combined statements of operations for the three months ended March 31,2026, and for the year ended December 31, 2025.</w:t>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    Reflects the adjustment in depreciation and amortization expense related to assets that will be stepped up in basis as a result of the Acquisition. The intangibles are comprised of a tradename and developed technology, which were adjusted to fair value based on the purchase price allocation described above. The depreciation and amortization expense was calculated on a straight-line basis using the estimated remaining useful lives of the assets, which varied among the different assets.</w:t>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    Reflects the adjustment to record (i) interest expense related to the amounts funded under the Credit Facility as part of the Acquisition and (ii) the elimination of historical interest expense associated with the elimination of Flatrock’s outstanding debt. A change of 1/8 percent in the assumed interest rate would change pro forma interest expense, and consequently pro forma income before income taxes, by less than $0.1 million and approximately $0.1 million for the three months ended March 31, 2026 and the year ended December 31, 2025, respectively. The effect on pro forma net income and pro forma basic and diluted earnings per share for these periods would not be significant.</w:t>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    Reflects the tax impact of transitioning Flatrock, which was previously a pass-through entity for tax purposes, into a taxable entity, calculated using the statutory income tax rate of 21%.</w:t>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(D)    Reflects amounts incurred of $3.3 million attributable to our transaction costs including legal, due diligence, valuation, accounting and other related costs incurred after the financial statements presented. No amounts for transaction costs have been recognized in the historical periods presented herein. This charge is not expected to recur in the twelve months following closing.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4.    Unaudited Pro Forma Earnings per Share</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Unaudited basic pro forma net income per share is computed by dividing pro forma net income attributable to common shares by the pro forma weighted average number of common shares outstanding during the period. Unaudited diluted pro forma net income per share is computed by dividing pro forma net income attributable to common shares by the weighted average number of common shares outstanding during the period after adjusting for the impact of securities that would have a dilutive effect on net income per share. The pro forma weighted average number of shares outstanding during the period uses the historical weighted average shares outstanding as of March 31, 2026 and December 31, 2025, respectively, as adjusted for the 241,803 shares of Common Stock issued on the Acquisition Date.</w:t>
      </w:r>
    </w:p>
    <w:tbl>
      <w:tblPr>
        <w:tblW w:w="5751" w:type="dxa"/>
        <w:jc w:val="left"/>
        <w:tblInd w:w="0" w:type="dxa"/>
        <w:tblLayout w:type="fixed"/>
        <w:tblCellMar>
          <w:top w:w="28" w:type="dxa"/>
          <w:left w:w="28" w:type="dxa"/>
          <w:bottom w:w="28" w:type="dxa"/>
          <w:right w:w="28" w:type="dxa"/>
        </w:tblCellMar>
      </w:tblPr>
      <w:tblGrid>
        <w:gridCol w:w="1686"/>
        <w:gridCol w:w="1483"/>
        <w:gridCol w:w="1496"/>
        <w:gridCol w:w="211"/>
        <w:gridCol w:w="721"/>
        <w:gridCol w:w="154"/>
      </w:tblGrid>
      <w:tr>
        <w:trPr/>
        <w:tc>
          <w:tcPr>
            <w:tcW w:w="1686"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 the three months ended March 31, 2026</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 forma net income - basic and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 forma weighted average shares outstanding - 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 forma weighted average shares outstanding - diluted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 forma earnings per share: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 the year ended December 31, 2025</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 forma net income - basic and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 forma weighted average shares outstanding - 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 forma weighted average shares outstanding - diluted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 forma earnings per share: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36</Pages>
  <Words>12091</Words>
  <Characters>67678</Characters>
  <CharactersWithSpaces>79257</CharactersWithSpaces>
  <Paragraphs>1630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