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333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3336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TRINGALI DONALD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60"/>
        <w:spacing w:after="0" w:line="384" w:lineRule="auto"/>
        <w:rPr>
          <w:sz w:val="20"/>
          <w:szCs w:val="20"/>
          <w:color w:val="auto"/>
        </w:rPr>
      </w:pPr>
      <w:r>
        <w:rPr>
          <w:rFonts w:ascii="Times New Roman" w:cs="Times New Roman" w:eastAsia="Times New Roman" w:hAnsi="Times New Roman"/>
          <w:sz w:val="16"/>
          <w:szCs w:val="16"/>
          <w:color w:val="0000FF"/>
        </w:rPr>
        <w:t>C/O NATURAL GAS SERVICES GROUP INC 404 VETERANS AIRPARK LANE SUITE 300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MIDLAND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79705</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NATURAL GAS SERVICES GROUP INC</w:t>
              </w:r>
            </w:hyperlink>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NGS </w:t>
            </w:r>
            <w:r>
              <w:rPr>
                <w:rFonts w:ascii="Times New Roman" w:cs="Times New Roman" w:eastAsia="Times New Roman" w:hAnsi="Times New Roman"/>
                <w:sz w:val="20"/>
                <w:szCs w:val="20"/>
                <w:color w:val="000000"/>
              </w:rPr>
              <w:t>]</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5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3"/>
            <w:vMerge w:val="restart"/>
          </w:tcPr>
          <w:p>
            <w:pPr>
              <w:jc w:val="right"/>
              <w:ind w:right="321"/>
              <w:spacing w:after="0"/>
              <w:rPr>
                <w:sz w:val="20"/>
                <w:szCs w:val="20"/>
                <w:color w:val="auto"/>
              </w:rPr>
            </w:pPr>
            <w:r>
              <w:rPr>
                <w:rFonts w:ascii="Times New Roman" w:cs="Times New Roman" w:eastAsia="Times New Roman" w:hAnsi="Times New Roman"/>
                <w:sz w:val="17"/>
                <w:szCs w:val="17"/>
                <w:color w:val="0000FF"/>
              </w:rPr>
              <w:t>17,763</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Rabbi</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1,955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4,574</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4,574</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Each Restricted Stock Unit represents the right to receive one share of the Issuer's common stock upon vesting.</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The acquisition reflects an award of Restricted Stock Units pursuant to the Company's 2019 Equity Incentive Plan. The award vests on the first anniversary of the grant date, subject to accelerated vesting under certain circumstances.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Donal J. Tringali</w:t>
            </w:r>
          </w:p>
        </w:tc>
        <w:tc>
          <w:tcPr>
            <w:tcW w:w="10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06/11/2026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9696" TargetMode="External"/><Relationship Id="rId14" Type="http://schemas.openxmlformats.org/officeDocument/2006/relationships/hyperlink" Target="http://www.sec.gov/cgi-bin/browse-edgar?action=getcompany&amp;CIK=000108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2026-06-11T09:28:08Z</dcterms:created>
  <dcterms:modified xsi:type="dcterms:W3CDTF">2026-06-11T09:28:08Z</dcterms:modified>
</cp:coreProperties>
</file>