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9,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pPr>
      <w:r>
        <w:rPr>
          <w:rFonts w:ascii="Times New Roman;serif" w:hAnsi="Times New Roman;serif"/>
          <w:b/>
          <w:color w:val="000000"/>
          <w:sz w:val="32"/>
        </w:rPr>
        <w:t>NATURAL GAS SERVICES GROUP, INC</w:t>
      </w:r>
      <w:r>
        <w:rPr>
          <w:rFonts w:ascii="Times New Roman;serif" w:hAnsi="Times New Roman;serif"/>
          <w:b/>
          <w:color w:val="000000"/>
          <w:sz w:val="36"/>
        </w:rPr>
        <w: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8137" w:type="dxa"/>
        <w:jc w:val="center"/>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845"/>
        <w:gridCol w:w="845"/>
        <w:gridCol w:w="1205"/>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1-31398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75-2811855</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417" w:before="40" w:after="283"/>
        <w:jc w:val="center"/>
        <w:rPr>
          <w:rFonts w:ascii="Times New Roman;serif" w:hAnsi="Times New Roman;serif"/>
          <w:b/>
          <w:color w:val="000000"/>
          <w:sz w:val="20"/>
        </w:rPr>
      </w:pPr>
      <w:r>
        <w:rPr>
          <w:rFonts w:ascii="Times New Roman;serif" w:hAnsi="Times New Roman;serif"/>
          <w:b/>
          <w:color w:val="000000"/>
          <w:sz w:val="20"/>
        </w:rPr>
        <w:t>601 State Street, Suite 400</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Southlake, TX 76092</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(432) 262-2700</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60"/>
        <w:jc w:val="both"/>
        <w:rPr/>
      </w:pPr>
      <w:r>
        <w:rPr/>
      </w:r>
    </w:p>
    <w:p>
      <w:pPr>
        <w:pStyle w:val="TextBody"/>
        <w:bidi w:val="0"/>
        <w:spacing w:lineRule="auto" w:line="288" w:before="0" w:after="60"/>
        <w:jc w:val="both"/>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p>
      <w:pPr>
        <w:pStyle w:val="TextBody"/>
        <w:bidi w:val="0"/>
        <w:spacing w:before="0" w:after="60"/>
        <w:jc w:val="both"/>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60"/>
        <w:ind w:left="0" w:right="0" w:firstLine="720"/>
        <w:jc w:val="left"/>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60"/>
        <w:jc w:val="left"/>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60"/>
        <w:jc w:val="left"/>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240.13e-14(c)).</w:t>
      </w:r>
    </w:p>
    <w:tbl>
      <w:tblPr>
        <w:tblW w:w="8636" w:type="dxa"/>
        <w:jc w:val="left"/>
        <w:tblInd w:w="0" w:type="dxa"/>
        <w:tblLayout w:type="fixed"/>
        <w:tblCellMar>
          <w:top w:w="28" w:type="dxa"/>
          <w:left w:w="28" w:type="dxa"/>
          <w:bottom w:w="28" w:type="dxa"/>
          <w:right w:w="28" w:type="dxa"/>
        </w:tblCellMar>
      </w:tblPr>
      <w:tblGrid>
        <w:gridCol w:w="897"/>
        <w:gridCol w:w="789"/>
        <w:gridCol w:w="789"/>
        <w:gridCol w:w="272"/>
        <w:gridCol w:w="272"/>
        <w:gridCol w:w="272"/>
        <w:gridCol w:w="420"/>
        <w:gridCol w:w="420"/>
        <w:gridCol w:w="420"/>
        <w:gridCol w:w="272"/>
        <w:gridCol w:w="272"/>
        <w:gridCol w:w="272"/>
        <w:gridCol w:w="958"/>
        <w:gridCol w:w="958"/>
        <w:gridCol w:w="1353"/>
      </w:tblGrid>
      <w:tr>
        <w:trPr/>
        <w:tc>
          <w:tcPr>
            <w:tcW w:w="89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863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NGS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NYSE</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720"/>
        <w:jc w:val="left"/>
        <w:rPr/>
      </w:pPr>
      <w:r>
        <w:rPr/>
      </w:r>
    </w:p>
    <w:p>
      <w:pPr>
        <w:pStyle w:val="TextBody"/>
        <w:bidi w:val="0"/>
        <w:spacing w:before="0" w:after="60"/>
        <w:ind w:left="0" w:right="0" w:firstLine="72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69" w:type="dxa"/>
        <w:jc w:val="left"/>
        <w:tblInd w:w="0" w:type="dxa"/>
        <w:tblLayout w:type="fixed"/>
        <w:tblCellMar>
          <w:top w:w="28" w:type="dxa"/>
          <w:left w:w="28" w:type="dxa"/>
          <w:bottom w:w="28" w:type="dxa"/>
          <w:right w:w="28" w:type="dxa"/>
        </w:tblCellMar>
      </w:tblPr>
      <w:tblGrid>
        <w:gridCol w:w="347"/>
        <w:gridCol w:w="304"/>
        <w:gridCol w:w="308"/>
        <w:gridCol w:w="1204"/>
        <w:gridCol w:w="1204"/>
        <w:gridCol w:w="1702"/>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4.01.</w:t>
            </w:r>
          </w:p>
        </w:tc>
        <w:tc>
          <w:tcPr>
            <w:tcW w:w="41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Changes in Registrant's Certifying Accountant.</w:t>
            </w:r>
          </w:p>
        </w:tc>
      </w:tr>
    </w:tbl>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(a)On July 9, 2026, Natural Gas Services Group, Inc., (the “Company”) was advised by Ham, Langston &amp; Brezina, L.L.P. (“HL&amp;B”), the Company’s independent registered public accounting firm, that HL&amp;B completed a transaction pursuant to which, among other things, CohnReznick LLP (“CohnReznick”) acquired certain assets of HL&amp;B. In connection with the closing of this transaction, on July 9, 2026, HL&amp;B resigned as the Company’s independent registered public accounting firm.</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On July 9, 2026 the Company’s Board of Directors (the “Board”) upon recommendation of the Audit Committee of the Board approved the appointment of CohnReznick as the Company’s new independent registered public accounting firm for the fiscal year ending December 31, 2026.</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 reports of HL&amp;B on the Company’s consolidated financial statements as of and for the years ended December 31, 2025 and 2024, did not contain an adverse opinion or a disclaimer of opinion, nor were they qualified or modified as to uncertainty, audit scope or accounting principles.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and the subsequent interim period through July 9, 2026, there were no (a) disagreements with HL&amp;B on any matter of accounting principles or practices, financial statement disclosure, or auditing scope or procedure, which, if not resolved to HL&amp;B’s satisfaction, would have caused it to make reference to the subject matter of the disagreement in connection with its reports on the Company’s financial statements, or (b) “reportable events” requiring disclosure pursuant to Item 304(a)(1)(v) of Regulation S-K.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provided HL&amp;B with a copy of the foregoing disclosures the Company is making in response to Item 4.01 in this Current Report on Form 8-K prior to its filing with the Securities and Exchange Commission (the “Commission”) and requested that HL&amp;B furnish the Company with a letter addressed to the Commission stating whether it agrees with the above statements and, if it does not agree, the respects in which it does not agree. A copy of HL&amp;B’s letter to the Commission, dated July 10, 2026, is attached hereto as Exhibit 16.1.</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and the subsequent interim period through the date of this Current Report on Form 8-K, neither the Company, nor anyone on its behalf, consulted with CohnReznick regarding: (i) either the application of accounting principles to a specified transaction, either completed or proposed, or the type of audit opinion that might be rendered on the Company’s financial statements; or (ii) any matter that was either the subject of a “disagreement,” as defined in Item 304(a)(1)(iv) of Regulation S-K and the related instructions to that item, or a “reportable event,” as described in Item 304(a)(1)(v) of Regulation S-K.</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rFonts w:ascii="Times New Roman;serif" w:hAnsi="Times New Roman;serif"/>
          <w:b w:val="false"/>
          <w:color w:val="000000"/>
          <w:sz w:val="20"/>
        </w:rPr>
        <w: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included with this Current Report on Form 8-K:</w:t>
      </w:r>
    </w:p>
    <w:p>
      <w:pPr>
        <w:pStyle w:val="TextBody"/>
        <w:bidi w:val="0"/>
        <w:spacing w:before="0" w:after="0"/>
        <w:jc w:val="both"/>
        <w:rPr/>
      </w:pPr>
      <w:r>
        <w:rPr/>
      </w:r>
    </w:p>
    <w:tbl>
      <w:tblPr>
        <w:tblW w:w="10199" w:type="dxa"/>
        <w:jc w:val="left"/>
        <w:tblInd w:w="0" w:type="dxa"/>
        <w:tblLayout w:type="fixed"/>
        <w:tblCellMar>
          <w:top w:w="28" w:type="dxa"/>
          <w:left w:w="28" w:type="dxa"/>
          <w:bottom w:w="28" w:type="dxa"/>
          <w:right w:w="28" w:type="dxa"/>
        </w:tblCellMar>
      </w:tblPr>
      <w:tblGrid>
        <w:gridCol w:w="391"/>
        <w:gridCol w:w="344"/>
        <w:gridCol w:w="345"/>
        <w:gridCol w:w="2663"/>
        <w:gridCol w:w="2663"/>
        <w:gridCol w:w="379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9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1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hyperlink w:anchor="ex161hlblettertosec.htm">
              <w:r>
                <w:rPr>
                  <w:rStyle w:val="InternetLink"/>
                  <w:rFonts w:ascii="Times New Roman;serif" w:hAnsi="Times New Roman;serif"/>
                  <w:b w:val="false"/>
                  <w:color w:val="0000FF"/>
                  <w:sz w:val="20"/>
                  <w:u w:val="single"/>
                </w:rPr>
                <w:t>16.1</w:t>
              </w:r>
            </w:hyperlink>
          </w:p>
        </w:tc>
        <w:tc>
          <w:tcPr>
            <w:tcW w:w="91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Letter to the Securities and Exchange Commission from Ham, Langston &amp; Brezina, L.L.P., dated July 10, 2026.</w:t>
            </w:r>
          </w:p>
        </w:tc>
      </w:tr>
      <w:tr>
        <w:trPr/>
        <w:tc>
          <w:tcPr>
            <w:tcW w:w="10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11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422" w:type="dxa"/>
        <w:jc w:val="center"/>
        <w:tblInd w:w="0" w:type="dxa"/>
        <w:tblLayout w:type="fixed"/>
        <w:tblCellMar>
          <w:top w:w="28" w:type="dxa"/>
          <w:left w:w="28" w:type="dxa"/>
          <w:bottom w:w="28" w:type="dxa"/>
          <w:right w:w="28" w:type="dxa"/>
        </w:tblCellMar>
      </w:tblPr>
      <w:tblGrid>
        <w:gridCol w:w="124"/>
        <w:gridCol w:w="109"/>
        <w:gridCol w:w="109"/>
        <w:gridCol w:w="599"/>
        <w:gridCol w:w="599"/>
        <w:gridCol w:w="602"/>
        <w:gridCol w:w="109"/>
        <w:gridCol w:w="109"/>
        <w:gridCol w:w="109"/>
        <w:gridCol w:w="398"/>
        <w:gridCol w:w="398"/>
        <w:gridCol w:w="398"/>
        <w:gridCol w:w="398"/>
        <w:gridCol w:w="398"/>
        <w:gridCol w:w="398"/>
        <w:gridCol w:w="751"/>
        <w:gridCol w:w="751"/>
        <w:gridCol w:w="10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NATURAL GAS SERVICES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C. Jacobs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Justin C. Jacobs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16.1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July 10, 2026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100 F Street, N.E.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Commissioners: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read the statements made by Natural Gas Services Group, Inc. included under Item 4.01 of its Current Report on Form 8-K dated July 9, 2026 to be filed with the Securities and Exchange Commission. We agree with the statements concerning our Firm contained therein.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Ham, Langston &amp; Brezina, L.L.P.</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926</Words>
  <Characters>5013</Characters>
  <CharactersWithSpaces>5878</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