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NATURAL GAS SERVICES GROUP, INC</w:t>
      </w:r>
      <w:r>
        <w:rPr>
          <w:rFonts w:ascii="Times New Roman" w:cs="Times New Roman" w:eastAsia="Times New Roman" w:hAnsi="Times New Roman"/>
          <w:sz w:val="31"/>
          <w:szCs w:val="31"/>
          <w:b w:val="1"/>
          <w:bCs w:val="1"/>
          <w:color w:val="auto"/>
        </w:rPr>
        <w:t>.</w:t>
      </w:r>
    </w:p>
    <w:p>
      <w:pPr>
        <w:sectPr>
          <w:pgSz w:w="11900" w:h="16838" w:orient="portrait"/>
          <w:cols w:equalWidth="0" w:num="1">
            <w:col w:w="11240"/>
          </w:cols>
          <w:pgMar w:left="320" w:top="1040" w:right="339" w:bottom="1440" w:gutter="0" w:footer="0" w:header="0"/>
        </w:sectPr>
      </w:pPr>
    </w:p>
    <w:p>
      <w:pPr>
        <w:spacing w:after="0" w:line="39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Colorado</w:t>
      </w:r>
    </w:p>
    <w:p>
      <w:pPr>
        <w:spacing w:after="0" w:line="6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234"/>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2600" w:type="dxa"/>
            <w:vAlign w:val="bottom"/>
          </w:tcPr>
          <w:p>
            <w:pPr>
              <w:spacing w:after="0"/>
              <w:rPr>
                <w:sz w:val="20"/>
                <w:szCs w:val="20"/>
                <w:color w:val="auto"/>
              </w:rPr>
            </w:pPr>
          </w:p>
        </w:tc>
      </w:tr>
      <w:tr>
        <w:trPr>
          <w:trHeight w:val="257"/>
        </w:trPr>
        <w:tc>
          <w:tcPr>
            <w:tcW w:w="4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1-31398</w:t>
            </w:r>
          </w:p>
        </w:tc>
        <w:tc>
          <w:tcPr>
            <w:tcW w:w="26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75-2811855</w:t>
            </w:r>
          </w:p>
        </w:tc>
      </w:tr>
      <w:tr>
        <w:trPr>
          <w:trHeight w:val="527"/>
        </w:trPr>
        <w:tc>
          <w:tcPr>
            <w:tcW w:w="4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(Commission File Number)</w:t>
            </w:r>
          </w:p>
        </w:tc>
        <w:tc>
          <w:tcPr>
            <w:tcW w:w="2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2"/>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600 State Street, Suite 400</w:t>
            </w:r>
          </w:p>
        </w:tc>
        <w:tc>
          <w:tcPr>
            <w:tcW w:w="2600" w:type="dxa"/>
            <w:vAlign w:val="bottom"/>
          </w:tcPr>
          <w:p>
            <w:pPr>
              <w:spacing w:after="0"/>
              <w:rPr>
                <w:sz w:val="24"/>
                <w:szCs w:val="24"/>
                <w:color w:val="auto"/>
              </w:rPr>
            </w:pPr>
          </w:p>
        </w:tc>
      </w:tr>
      <w:tr>
        <w:trPr>
          <w:trHeight w:val="270"/>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Southlake, TX 76092</w:t>
            </w:r>
          </w:p>
        </w:tc>
        <w:tc>
          <w:tcPr>
            <w:tcW w:w="2600" w:type="dxa"/>
            <w:vAlign w:val="bottom"/>
          </w:tcPr>
          <w:p>
            <w:pPr>
              <w:spacing w:after="0"/>
              <w:rPr>
                <w:sz w:val="23"/>
                <w:szCs w:val="23"/>
                <w:color w:val="auto"/>
              </w:rPr>
            </w:pPr>
          </w:p>
        </w:tc>
      </w:tr>
      <w:tr>
        <w:trPr>
          <w:trHeight w:val="270"/>
        </w:trPr>
        <w:tc>
          <w:tcPr>
            <w:tcW w:w="4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00" w:type="dxa"/>
            <w:vAlign w:val="bottom"/>
          </w:tcPr>
          <w:p>
            <w:pPr>
              <w:spacing w:after="0"/>
              <w:rPr>
                <w:sz w:val="23"/>
                <w:szCs w:val="23"/>
                <w:color w:val="auto"/>
              </w:rPr>
            </w:pPr>
          </w:p>
        </w:tc>
      </w:tr>
      <w:tr>
        <w:trPr>
          <w:trHeight w:val="270"/>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(432) 262-2700</w:t>
            </w:r>
          </w:p>
        </w:tc>
        <w:tc>
          <w:tcPr>
            <w:tcW w:w="2600" w:type="dxa"/>
            <w:vAlign w:val="bottom"/>
          </w:tcPr>
          <w:p>
            <w:pPr>
              <w:spacing w:after="0"/>
              <w:rPr>
                <w:sz w:val="23"/>
                <w:szCs w:val="23"/>
                <w:color w:val="auto"/>
              </w:rPr>
            </w:pPr>
          </w:p>
        </w:tc>
      </w:tr>
      <w:tr>
        <w:trPr>
          <w:trHeight w:val="270"/>
        </w:trPr>
        <w:tc>
          <w:tcPr>
            <w:tcW w:w="4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600" w:type="dxa"/>
            <w:vAlign w:val="bottom"/>
          </w:tcPr>
          <w:p>
            <w:pPr>
              <w:spacing w:after="0"/>
              <w:rPr>
                <w:sz w:val="23"/>
                <w:szCs w:val="23"/>
                <w:color w:val="auto"/>
              </w:rPr>
            </w:pPr>
          </w:p>
        </w:tc>
      </w:tr>
      <w:tr>
        <w:trPr>
          <w:trHeight w:val="270"/>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2600" w:type="dxa"/>
            <w:vAlign w:val="bottom"/>
          </w:tcPr>
          <w:p>
            <w:pPr>
              <w:spacing w:after="0"/>
              <w:rPr>
                <w:sz w:val="23"/>
                <w:szCs w:val="23"/>
                <w:color w:val="auto"/>
              </w:rPr>
            </w:pPr>
          </w:p>
        </w:tc>
      </w:tr>
    </w:tbl>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ectPr>
          <w:pgSz w:w="11900" w:h="16838" w:orient="portrait"/>
          <w:cols w:equalWidth="0" w:num="2">
            <w:col w:w="3080" w:space="200"/>
            <w:col w:w="7960"/>
          </w:cols>
          <w:pgMar w:left="320" w:top="1040" w:right="339" w:bottom="1440" w:gutter="0" w:footer="0" w:header="0"/>
          <w:type w:val="continuous"/>
        </w:sectPr>
      </w:pPr>
    </w:p>
    <w:p>
      <w:pPr>
        <w:spacing w:after="0" w:line="16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97"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0"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0"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0"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240.13e-14(c)).</w:t>
      </w:r>
    </w:p>
    <w:p>
      <w:pPr>
        <w:spacing w:after="0" w:line="108" w:lineRule="exact"/>
        <w:rPr>
          <w:sz w:val="24"/>
          <w:szCs w:val="24"/>
          <w:color w:val="auto"/>
        </w:rPr>
      </w:pPr>
    </w:p>
    <w:tbl>
      <w:tblPr>
        <w:tblLayout w:type="fixed"/>
        <w:tblInd w:w="660" w:type="dxa"/>
        <w:tblCellMar>
          <w:top w:w="0" w:type="dxa"/>
          <w:left w:w="0" w:type="dxa"/>
          <w:bottom w:w="0" w:type="dxa"/>
          <w:right w:w="0" w:type="dxa"/>
        </w:tblCellMar>
      </w:tblPr>
      <w:tr>
        <w:trPr>
          <w:trHeight w:val="210"/>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327"/>
        </w:trPr>
        <w:tc>
          <w:tcPr>
            <w:tcW w:w="408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3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Trading Symbol</w:t>
            </w: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center"/>
              <w:ind w:right="419"/>
              <w:spacing w:after="0"/>
              <w:rPr>
                <w:sz w:val="20"/>
                <w:szCs w:val="20"/>
                <w:color w:val="auto"/>
              </w:rPr>
            </w:pPr>
            <w:r>
              <w:rPr>
                <w:rFonts w:ascii="Times New Roman" w:cs="Times New Roman" w:eastAsia="Times New Roman" w:hAnsi="Times New Roman"/>
                <w:sz w:val="16"/>
                <w:szCs w:val="16"/>
                <w:color w:val="auto"/>
              </w:rPr>
              <w:t>NGS</w:t>
            </w:r>
          </w:p>
        </w:tc>
        <w:tc>
          <w:tcPr>
            <w:tcW w:w="80" w:type="dxa"/>
            <w:vAlign w:val="bottom"/>
          </w:tcPr>
          <w:p>
            <w:pPr>
              <w:spacing w:after="0"/>
              <w:rPr>
                <w:sz w:val="17"/>
                <w:szCs w:val="17"/>
                <w:color w:val="auto"/>
              </w:rPr>
            </w:pPr>
          </w:p>
        </w:tc>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NYSE</w:t>
            </w:r>
          </w:p>
        </w:tc>
      </w:tr>
    </w:tbl>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election of John E. Jackson to the Board of Directors (the “Board”) of Natural Gas Services Group, Inc. (the “Company”) at the 2026 annual meeting of shareholders (the “Meeting”) of the Company discussed below in Item 5.07, on June 10, 2026, the Company entered into an indemnification agreement with Mr. Jackson (the “Indemnification Agreement”) pursuant to which the Company agreed to indemnify Mr. Jackson in connection with claims brought against him in his capacity as a director of the Company. The Indemnification Agreement also provides, among other things, certain expense advancement rights in legal proceedings so long as Mr. Jackson undertakes to repay the advancement if it is later determined that he is not entitled to be indemnified.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preceding is a summary of the material provisions of the Indemnification Agreement and is qualified in its entirety by reference to the complete text of the form of Indemnification Agreement included as Exhibit 10.1 to this Current Report on Form 8-K and incorporated by reference herein.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Meeting was held on June 10, 2026, at which the Company’s shareholders voted on the proposals identified below. </w:t>
      </w:r>
      <w:r>
        <w:rPr>
          <w:rFonts w:ascii="Times New Roman" w:cs="Times New Roman" w:eastAsia="Times New Roman" w:hAnsi="Times New Roman"/>
          <w:sz w:val="18"/>
          <w:szCs w:val="18"/>
          <w:color w:val="212121"/>
        </w:rPr>
        <w:t>These proposals were described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detail in the Company’s definitive Proxy Statement for the Meeting filed with the Securities and Exchange Commission on April 28, 2026.</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close of business on April 16, 2026, the record date for the Meeting, 12,590,213 shares of common stock, par value $0.01 per share (the "Common Stock") of the Company, were issued and outstanding and entitled to vote at the Meeting. Shareholders owning a total of 10,554,321 shares of Common Stock were represented at the meeting, which represented approximately 84% of the shares of the Common Stock outstanding as of the record date for the Meeting.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three nominees for director was duly elected by the Company’s shareholders, with votes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34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Abstentions/Withheld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7"/>
        </w:trPr>
        <w:tc>
          <w:tcPr>
            <w:tcW w:w="3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32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1A. J. Anthony Gallegos, Jr.</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9,012,307</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321,253</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1,215,264</w:t>
            </w:r>
          </w:p>
        </w:tc>
      </w:tr>
      <w:tr>
        <w:trPr>
          <w:trHeight w:val="257"/>
        </w:trPr>
        <w:tc>
          <w:tcPr>
            <w:tcW w:w="34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1B. Justin C. Jacobs</w:t>
            </w:r>
            <w:r>
              <w:rPr>
                <w:rFonts w:ascii="Times New Roman" w:cs="Times New Roman" w:eastAsia="Times New Roman" w:hAnsi="Times New Roman"/>
                <w:sz w:val="23"/>
                <w:szCs w:val="23"/>
                <w:color w:val="auto"/>
                <w:vertAlign w:val="superscript"/>
              </w:rPr>
              <w:t>(1)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9,056,225</w:t>
            </w:r>
          </w:p>
        </w:tc>
        <w:tc>
          <w:tcPr>
            <w:tcW w:w="10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280,273</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1,215,264</w:t>
            </w:r>
          </w:p>
        </w:tc>
      </w:tr>
      <w:tr>
        <w:trPr>
          <w:trHeight w:val="256"/>
        </w:trPr>
        <w:tc>
          <w:tcPr>
            <w:tcW w:w="34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1C. John E. Jackson</w:t>
            </w:r>
            <w:r>
              <w:rPr>
                <w:rFonts w:ascii="Times New Roman" w:cs="Times New Roman" w:eastAsia="Times New Roman" w:hAnsi="Times New Roman"/>
                <w:sz w:val="23"/>
                <w:szCs w:val="23"/>
                <w:color w:val="auto"/>
                <w:vertAlign w:val="superscript"/>
              </w:rPr>
              <w:t>(1)</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9,311,247</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22,313</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1,215,264</w:t>
            </w:r>
          </w:p>
        </w:tc>
      </w:tr>
    </w:tbl>
    <w:p>
      <w:pPr>
        <w:spacing w:after="0" w:line="184" w:lineRule="exact"/>
        <w:rPr>
          <w:sz w:val="20"/>
          <w:szCs w:val="20"/>
          <w:color w:val="auto"/>
        </w:rPr>
      </w:pPr>
    </w:p>
    <w:p>
      <w:pPr>
        <w:ind w:right="740" w:firstLine="332"/>
        <w:spacing w:after="0" w:line="346" w:lineRule="auto"/>
        <w:tabs>
          <w:tab w:leader="none" w:pos="505"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Elected for a three-year term expiring at the 2029 annual meeting of shareholders, or until his respective successor is elected and qualified. </w:t>
      </w:r>
      <w:r>
        <w:rPr>
          <w:rFonts w:ascii="Times New Roman" w:cs="Times New Roman" w:eastAsia="Times New Roman" w:hAnsi="Times New Roman"/>
          <w:sz w:val="17"/>
          <w:szCs w:val="17"/>
          <w:u w:val="single" w:color="auto"/>
          <w:color w:val="auto"/>
        </w:rPr>
        <w:t>Proposal 2 – Advisory Vote to Approve the Compensation of Our Named Executive Officers</w:t>
      </w:r>
    </w:p>
    <w:p>
      <w:pPr>
        <w:spacing w:after="0" w:line="1"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shareholders approved, on an advisory basis, the compensation of the Company’s named executive officers, by the following vote: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8,576,391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560,762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201,904</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1,215,264</w:t>
            </w:r>
          </w:p>
        </w:tc>
      </w:tr>
      <w:tr>
        <w:trPr>
          <w:trHeight w:val="22"/>
        </w:trPr>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Ratification of Appointment of Independent Registered Public Accounting Firm;</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shareholders ratified the appointment of Ham, Langston &amp; Brezina LLP as the Company’s independent registered public accounting firm for fiscal year 2026 by the following vote: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556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28"/>
        </w:trPr>
        <w:tc>
          <w:tcPr>
            <w:tcW w:w="27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10,425,583</w:t>
            </w: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125,531</w:t>
            </w:r>
          </w:p>
        </w:tc>
        <w:tc>
          <w:tcPr>
            <w:tcW w:w="2840" w:type="dxa"/>
            <w:vAlign w:val="bottom"/>
            <w:shd w:val="clear" w:color="auto" w:fill="CCEEFF"/>
          </w:tcPr>
          <w:p>
            <w:pPr>
              <w:spacing w:after="0"/>
              <w:rPr>
                <w:sz w:val="19"/>
                <w:szCs w:val="19"/>
                <w:color w:val="auto"/>
              </w:rPr>
            </w:pPr>
          </w:p>
        </w:tc>
      </w:tr>
      <w:tr>
        <w:trPr>
          <w:trHeight w:val="22"/>
        </w:trPr>
        <w:tc>
          <w:tcPr>
            <w:tcW w:w="2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4 – Approve the Redomestication of the Company From Colorado to Texas by Conversion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redomestication of the Company from Colorado to Texas by conversion by the following vote: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9,219,513</w:t>
            </w: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113,692</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5,852</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1,215,264</w:t>
            </w:r>
          </w:p>
        </w:tc>
      </w:tr>
      <w:tr>
        <w:trPr>
          <w:trHeight w:val="1370"/>
        </w:trPr>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included with this Current Report on Form 8-K:</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380" w:type="dxa"/>
            <w:vAlign w:val="bottom"/>
            <w:tcBorders>
              <w:top w:val="single" w:sz="8" w:color="auto"/>
              <w:bottom w:val="single" w:sz="8" w:color="auto"/>
              <w:right w:val="single" w:sz="8" w:color="auto"/>
            </w:tcBorders>
          </w:tcPr>
          <w:p>
            <w:pPr>
              <w:ind w:left="3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880" w:type="dxa"/>
            <w:vAlign w:val="bottom"/>
            <w:tcBorders>
              <w:left w:val="single" w:sz="8" w:color="auto"/>
              <w:right w:val="single" w:sz="8" w:color="auto"/>
            </w:tcBorders>
          </w:tcPr>
          <w:p>
            <w:pPr>
              <w:ind w:left="40"/>
              <w:spacing w:after="0" w:line="169" w:lineRule="exact"/>
              <w:rPr>
                <w:rFonts w:ascii="Times New Roman" w:cs="Times New Roman" w:eastAsia="Times New Roman" w:hAnsi="Times New Roman"/>
                <w:sz w:val="18"/>
                <w:szCs w:val="18"/>
                <w:color w:val="auto"/>
              </w:rPr>
            </w:pPr>
            <w:hyperlink r:id="rId11">
              <w:r>
                <w:rPr>
                  <w:rFonts w:ascii="Times New Roman" w:cs="Times New Roman" w:eastAsia="Times New Roman" w:hAnsi="Times New Roman"/>
                  <w:sz w:val="18"/>
                  <w:szCs w:val="18"/>
                  <w:color w:val="auto"/>
                </w:rPr>
                <w:t>10.1</w:t>
              </w:r>
            </w:hyperlink>
          </w:p>
        </w:tc>
        <w:tc>
          <w:tcPr>
            <w:tcW w:w="83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Form of Indemnification Agreement by and between Natural Gas Services Group, Inc. and Certain Indemnitees</w:t>
            </w:r>
          </w:p>
        </w:tc>
      </w:tr>
      <w:tr>
        <w:trPr>
          <w:trHeight w:val="184"/>
        </w:trPr>
        <w:tc>
          <w:tcPr>
            <w:tcW w:w="2880" w:type="dxa"/>
            <w:vAlign w:val="bottom"/>
            <w:tcBorders>
              <w:left w:val="single" w:sz="8" w:color="auto"/>
              <w:right w:val="single" w:sz="8" w:color="auto"/>
            </w:tcBorders>
          </w:tcPr>
          <w:p>
            <w:pPr>
              <w:spacing w:after="0"/>
              <w:rPr>
                <w:sz w:val="16"/>
                <w:szCs w:val="16"/>
                <w:color w:val="auto"/>
              </w:rPr>
            </w:pPr>
          </w:p>
        </w:tc>
        <w:tc>
          <w:tcPr>
            <w:tcW w:w="838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(incorporated by reference to Exhibit 10.2 of the Registrant’s Quarterly Report on Form 10-Q filed with the</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and Exchange Commission on May 12, 2025).</w:t>
            </w:r>
          </w:p>
        </w:tc>
      </w:tr>
      <w:tr>
        <w:trPr>
          <w:trHeight w:val="223"/>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8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77"/>
        </w:trPr>
        <w:tc>
          <w:tcPr>
            <w:tcW w:w="288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14"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54" w:lineRule="exact"/>
        <w:rPr>
          <w:sz w:val="20"/>
          <w:szCs w:val="20"/>
          <w:color w:val="auto"/>
        </w:rPr>
      </w:pPr>
    </w:p>
    <w:p>
      <w:pPr>
        <w:ind w:firstLine="39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4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28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Justin C. Jacobs</w:t>
            </w:r>
          </w:p>
        </w:tc>
      </w:tr>
      <w:tr>
        <w:trPr>
          <w:trHeight w:val="434"/>
        </w:trPr>
        <w:tc>
          <w:tcPr>
            <w:tcW w:w="366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Justin C. Jacobs</w:t>
            </w:r>
          </w:p>
        </w:tc>
      </w:tr>
      <w:tr>
        <w:trPr>
          <w:trHeight w:val="229"/>
        </w:trPr>
        <w:tc>
          <w:tcPr>
            <w:tcW w:w="3660" w:type="dxa"/>
            <w:vAlign w:val="bottom"/>
          </w:tcPr>
          <w:p>
            <w:pPr>
              <w:spacing w:after="0"/>
              <w:rPr>
                <w:sz w:val="19"/>
                <w:szCs w:val="19"/>
                <w:color w:val="auto"/>
              </w:rPr>
            </w:pPr>
          </w:p>
        </w:tc>
        <w:tc>
          <w:tcPr>
            <w:tcW w:w="28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1" Type="http://schemas.openxmlformats.org/officeDocument/2006/relationships/hyperlink" Target="https://www.sec.gov/Archives/edgar/data/1084991/000108499125000065/a033125-ngsxex102indemnif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2026-06-11T15:22:57Z</dcterms:created>
  <dcterms:modified xsi:type="dcterms:W3CDTF">2026-06-11T15:22:57Z</dcterms:modified>
</cp:coreProperties>
</file>