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654685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611505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35" w:lineRule="exact"/>
        <w:rPr>
          <w:sz w:val="24"/>
          <w:szCs w:val="24"/>
          <w:color w:val="auto"/>
        </w:rPr>
      </w:pPr>
    </w:p>
    <w:p>
      <w:pPr>
        <w:ind w:left="1980" w:hanging="177"/>
        <w:spacing w:after="0"/>
        <w:tabs>
          <w:tab w:leader="none" w:pos="1980" w:val="left"/>
        </w:tabs>
        <w:numPr>
          <w:ilvl w:val="0"/>
          <w:numId w:val="1"/>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ANNUAL REPORT PURSUANT TO SECTION 13 OR 15(d) OF THE SECURITIES EXCHANGE ACT OF 1934</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 xml:space="preserve">For the fiscal year ended </w:t>
      </w:r>
      <w:r>
        <w:rPr>
          <w:rFonts w:ascii="Times New Roman" w:cs="Times New Roman" w:eastAsia="Times New Roman" w:hAnsi="Times New Roman"/>
          <w:sz w:val="15"/>
          <w:szCs w:val="15"/>
          <w:b w:val="1"/>
          <w:bCs w:val="1"/>
          <w:color w:val="auto"/>
        </w:rPr>
        <w:t>December 31, 2025</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or</w:t>
      </w:r>
    </w:p>
    <w:p>
      <w:pPr>
        <w:spacing w:after="0" w:line="10" w:lineRule="exact"/>
        <w:rPr>
          <w:sz w:val="24"/>
          <w:szCs w:val="24"/>
          <w:color w:val="auto"/>
        </w:rPr>
      </w:pPr>
    </w:p>
    <w:p>
      <w:pPr>
        <w:ind w:left="3000" w:right="1640" w:hanging="1354"/>
        <w:spacing w:after="0" w:line="285" w:lineRule="auto"/>
        <w:tabs>
          <w:tab w:leader="none" w:pos="1826" w:val="left"/>
        </w:tabs>
        <w:numPr>
          <w:ilvl w:val="0"/>
          <w:numId w:val="2"/>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 xml:space="preserve">TRANSITION REPORT PURSUANT TO SECTION 13 OR 15(d) OF THE SECURITIES EXCHANGE ACT OF 1934 </w:t>
      </w:r>
      <w:r>
        <w:rPr>
          <w:rFonts w:ascii="Times New Roman" w:cs="Times New Roman" w:eastAsia="Times New Roman" w:hAnsi="Times New Roman"/>
          <w:sz w:val="15"/>
          <w:szCs w:val="15"/>
          <w:color w:val="auto"/>
        </w:rPr>
        <w:t>For the transition period from________________________to__________________________</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Commission file number: 1-31398</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NATURAL GAS SERVICES GROUP,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Colorado</w:t>
            </w: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7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75-2811855</w:t>
            </w:r>
          </w:p>
        </w:tc>
      </w:tr>
      <w:tr>
        <w:trPr>
          <w:trHeight w:val="217"/>
        </w:trPr>
        <w:tc>
          <w:tcPr>
            <w:tcW w:w="4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235"/>
        </w:trPr>
        <w:tc>
          <w:tcPr>
            <w:tcW w:w="4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601 State Street, Suite 400, Southlake, Texas</w:t>
            </w: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7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76092</w:t>
            </w:r>
          </w:p>
        </w:tc>
      </w:tr>
      <w:tr>
        <w:trPr>
          <w:trHeight w:val="217"/>
        </w:trPr>
        <w:tc>
          <w:tcPr>
            <w:tcW w:w="4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(Zip Code)</w:t>
            </w:r>
          </w:p>
        </w:tc>
      </w:tr>
      <w:tr>
        <w:trPr>
          <w:trHeight w:val="235"/>
        </w:trPr>
        <w:tc>
          <w:tcPr>
            <w:tcW w:w="48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tc>
        <w:tc>
          <w:tcPr>
            <w:tcW w:w="1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(432) 262-2700</w:t>
            </w:r>
          </w:p>
        </w:tc>
      </w:tr>
      <w:tr>
        <w:trPr>
          <w:trHeight w:val="217"/>
        </w:trPr>
        <w:tc>
          <w:tcPr>
            <w:tcW w:w="112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r>
      <w:tr>
        <w:trPr>
          <w:trHeight w:val="235"/>
        </w:trPr>
        <w:tc>
          <w:tcPr>
            <w:tcW w:w="48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Trading Symbol</w:t>
            </w:r>
          </w:p>
        </w:tc>
        <w:tc>
          <w:tcPr>
            <w:tcW w:w="47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22"/>
        </w:trPr>
        <w:tc>
          <w:tcPr>
            <w:tcW w:w="4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$.01 par value</w:t>
            </w:r>
          </w:p>
        </w:tc>
        <w:tc>
          <w:tcPr>
            <w:tcW w:w="100" w:type="dxa"/>
            <w:vAlign w:val="bottom"/>
          </w:tcPr>
          <w:p>
            <w:pPr>
              <w:spacing w:after="0"/>
              <w:rPr>
                <w:sz w:val="19"/>
                <w:szCs w:val="19"/>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NGS</w:t>
            </w:r>
          </w:p>
        </w:tc>
        <w:tc>
          <w:tcPr>
            <w:tcW w:w="80" w:type="dxa"/>
            <w:vAlign w:val="bottom"/>
          </w:tcPr>
          <w:p>
            <w:pPr>
              <w:spacing w:after="0"/>
              <w:rPr>
                <w:sz w:val="19"/>
                <w:szCs w:val="19"/>
                <w:color w:val="auto"/>
              </w:rPr>
            </w:pPr>
          </w:p>
        </w:tc>
        <w:tc>
          <w:tcPr>
            <w:tcW w:w="4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New York Stock Exchange</w:t>
            </w:r>
          </w:p>
        </w:tc>
      </w:tr>
    </w:tbl>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12(g) of the Act: None.</w:t>
      </w:r>
    </w:p>
    <w:p>
      <w:pPr>
        <w:spacing w:after="0" w:line="3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27" w:lineRule="exact"/>
        <w:rPr>
          <w:sz w:val="24"/>
          <w:szCs w:val="24"/>
          <w:color w:val="auto"/>
        </w:rPr>
      </w:pPr>
    </w:p>
    <w:p>
      <w:pPr>
        <w:spacing w:after="0" w:line="161" w:lineRule="exact"/>
        <w:tabs>
          <w:tab w:leader="none" w:pos="106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p>
    <w:p>
      <w:pPr>
        <w:spacing w:after="0" w:line="161" w:lineRule="exact"/>
        <w:tabs>
          <w:tab w:leader="none" w:pos="106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50" w:lineRule="exact"/>
        <w:rPr>
          <w:sz w:val="24"/>
          <w:szCs w:val="24"/>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1" w:lineRule="exact"/>
        <w:tabs>
          <w:tab w:leader="none" w:pos="106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50" w:lineRule="exact"/>
        <w:rPr>
          <w:sz w:val="24"/>
          <w:szCs w:val="24"/>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161" w:lineRule="exact"/>
        <w:tabs>
          <w:tab w:leader="none" w:pos="106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50"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206" w:lineRule="exact"/>
        <w:rPr>
          <w:sz w:val="24"/>
          <w:szCs w:val="24"/>
          <w:color w:val="auto"/>
        </w:rPr>
      </w:pPr>
    </w:p>
    <w:p>
      <w:pPr>
        <w:ind w:left="420"/>
        <w:spacing w:after="0" w:line="161" w:lineRule="exact"/>
        <w:tabs>
          <w:tab w:leader="none" w:pos="2680" w:val="left"/>
          <w:tab w:leader="none" w:pos="4600" w:val="left"/>
          <w:tab w:leader="none" w:pos="6600" w:val="left"/>
          <w:tab w:leader="none" w:pos="906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w:t>
      </w:r>
    </w:p>
    <w:p>
      <w:pPr>
        <w:spacing w:after="0" w:line="161" w:lineRule="exact"/>
        <w:tabs>
          <w:tab w:leader="none" w:pos="4720" w:val="left"/>
        </w:tabs>
        <w:rPr>
          <w:sz w:val="20"/>
          <w:szCs w:val="20"/>
          <w:color w:val="auto"/>
        </w:rPr>
      </w:pPr>
      <w:r>
        <w:rPr>
          <w:rFonts w:ascii="Times New Roman" w:cs="Times New Roman" w:eastAsia="Times New Roman" w:hAnsi="Times New Roman"/>
          <w:sz w:val="14"/>
          <w:szCs w:val="14"/>
          <w:color w:val="auto"/>
        </w:rPr>
        <w:t>standards provided pursuant to Section 13(a) of the Exchange Act.</w:t>
      </w:r>
      <w:r>
        <w:rPr>
          <w:sz w:val="20"/>
          <w:szCs w:val="20"/>
          <w:color w:val="auto"/>
        </w:rPr>
        <w:tab/>
      </w:r>
      <w:r>
        <w:rPr>
          <w:rFonts w:ascii="MS PGothic" w:cs="MS PGothic" w:eastAsia="MS PGothic" w:hAnsi="MS PGothic"/>
          <w:sz w:val="12"/>
          <w:szCs w:val="12"/>
          <w:color w:val="auto"/>
        </w:rPr>
        <w: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w:t>
      </w:r>
    </w:p>
    <w:p>
      <w:pPr>
        <w:spacing w:after="0" w:line="161" w:lineRule="exact"/>
        <w:tabs>
          <w:tab w:leader="none" w:pos="10100" w:val="left"/>
        </w:tabs>
        <w:rPr>
          <w:sz w:val="20"/>
          <w:szCs w:val="20"/>
          <w:color w:val="auto"/>
        </w:rPr>
      </w:pPr>
      <w:r>
        <w:rPr>
          <w:rFonts w:ascii="Times New Roman" w:cs="Times New Roman" w:eastAsia="Times New Roman" w:hAnsi="Times New Roman"/>
          <w:sz w:val="14"/>
          <w:szCs w:val="14"/>
          <w:color w:val="auto"/>
        </w:rPr>
        <w:t>Section 404(b) of the Sarbanes-Oxley Act (15 U.S.C. 7262(b)) by the registered public accounting firm that prepared or issued its audit report.</w:t>
      </w:r>
      <w:r>
        <w:rPr>
          <w:sz w:val="20"/>
          <w:szCs w:val="20"/>
          <w:color w:val="auto"/>
        </w:rPr>
        <w:tab/>
      </w:r>
      <w:r>
        <w:rPr>
          <w:rFonts w:ascii="MS PGothic" w:cs="MS PGothic" w:eastAsia="MS PGothic" w:hAnsi="MS PGothic"/>
          <w:sz w:val="12"/>
          <w:szCs w:val="12"/>
          <w:color w:val="auto"/>
        </w:rPr>
        <w: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If securities are registered pursuant to Section 12(b) of the Act, indicate by check mark whether the financial statements of the Registrant included in the filing reflect the correction of an error</w:t>
      </w:r>
    </w:p>
    <w:p>
      <w:pPr>
        <w:spacing w:after="0" w:line="161" w:lineRule="exact"/>
        <w:tabs>
          <w:tab w:leader="none" w:pos="3580" w:val="left"/>
        </w:tabs>
        <w:rPr>
          <w:sz w:val="20"/>
          <w:szCs w:val="20"/>
          <w:color w:val="auto"/>
        </w:rPr>
      </w:pPr>
      <w:r>
        <w:rPr>
          <w:rFonts w:ascii="Times New Roman" w:cs="Times New Roman" w:eastAsia="Times New Roman" w:hAnsi="Times New Roman"/>
          <w:sz w:val="14"/>
          <w:szCs w:val="14"/>
          <w:color w:val="auto"/>
        </w:rPr>
        <w:t>to previously issued financial statements.</w:t>
      </w:r>
      <w:r>
        <w:rPr>
          <w:sz w:val="20"/>
          <w:szCs w:val="20"/>
          <w:color w:val="auto"/>
        </w:rPr>
        <w:tab/>
      </w:r>
      <w:r>
        <w:rPr>
          <w:rFonts w:ascii="MS PGothic" w:cs="MS PGothic" w:eastAsia="MS PGothic" w:hAnsi="MS PGothic"/>
          <w:sz w:val="12"/>
          <w:szCs w:val="12"/>
          <w:color w:val="auto"/>
        </w:rPr>
        <w: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any of those error corrections are restatements that required a recovery analysis of incentive-based compensation received by any of the Registrant’s executive</w:t>
      </w:r>
    </w:p>
    <w:p>
      <w:pPr>
        <w:spacing w:after="0" w:line="161" w:lineRule="exact"/>
        <w:tabs>
          <w:tab w:leader="none" w:pos="5000" w:val="left"/>
        </w:tabs>
        <w:rPr>
          <w:sz w:val="20"/>
          <w:szCs w:val="20"/>
          <w:color w:val="auto"/>
        </w:rPr>
      </w:pPr>
      <w:r>
        <w:rPr>
          <w:rFonts w:ascii="Times New Roman" w:cs="Times New Roman" w:eastAsia="Times New Roman" w:hAnsi="Times New Roman"/>
          <w:sz w:val="14"/>
          <w:szCs w:val="14"/>
          <w:color w:val="auto"/>
        </w:rPr>
        <w:t>officers during the relevant recovery period pursuant to §240.10D-1(b).</w:t>
      </w:r>
      <w:r>
        <w:rPr>
          <w:sz w:val="20"/>
          <w:szCs w:val="20"/>
          <w:color w:val="auto"/>
        </w:rPr>
        <w:tab/>
      </w:r>
      <w:r>
        <w:rPr>
          <w:rFonts w:ascii="MS PGothic" w:cs="MS PGothic" w:eastAsia="MS PGothic" w:hAnsi="MS PGothic"/>
          <w:sz w:val="12"/>
          <w:szCs w:val="12"/>
          <w:color w:val="auto"/>
        </w:rPr>
        <w:t>☐</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20" w:lineRule="exact"/>
        <w:rPr>
          <w:sz w:val="24"/>
          <w:szCs w:val="24"/>
          <w:color w:val="auto"/>
        </w:rPr>
      </w:pPr>
    </w:p>
    <w:p>
      <w:pPr>
        <w:spacing w:after="0" w:line="161" w:lineRule="exact"/>
        <w:tabs>
          <w:tab w:leader="none" w:pos="102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96"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aggregate market value of voting and non-voting common equity held by non-affiliates of the Registrant as of June 30, 2025, was approximately $181.9 million based on the closing price of the common stock on that date on the New York Stock Exchange.</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At March 13, 2026, there were 12,587,628 shares of the Registrant’s common stock outstanding.</w:t>
      </w:r>
    </w:p>
    <w:p>
      <w:pPr>
        <w:spacing w:after="0" w:line="80"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98"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Certain information called for in Items 10, 11, 12, 13 and 14 of Part III are incorporated by reference to the Registrant’s definitive proxy statement for the annual meeting of shareholders expected to be held on June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739775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9"/>
        </w:trPr>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760" w:type="dxa"/>
            <w:vAlign w:val="bottom"/>
            <w:gridSpan w:val="19"/>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8"/>
              </w:rPr>
              <w:t>NATURAL GAS SERVICES GROUP, INC.</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760" w:type="dxa"/>
            <w:vAlign w:val="bottom"/>
            <w:gridSpan w:val="19"/>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60" w:type="dxa"/>
            <w:vAlign w:val="bottom"/>
            <w:gridSpan w:val="19"/>
          </w:tcPr>
          <w:p>
            <w:pPr>
              <w:ind w:left="340"/>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Item No.</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940" w:type="dxa"/>
            <w:vAlign w:val="bottom"/>
            <w:gridSpan w:val="18"/>
          </w:tcPr>
          <w:p>
            <w:pPr>
              <w:jc w:val="center"/>
              <w:ind w:right="26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560" w:type="dxa"/>
            <w:vAlign w:val="bottom"/>
            <w:gridSpan w:val="5"/>
            <w:vMerge w:val="restart"/>
          </w:tcPr>
          <w:p>
            <w:pPr>
              <w:ind w:left="38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50"/>
        </w:trPr>
        <w:tc>
          <w:tcPr>
            <w:tcW w:w="8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560" w:type="dxa"/>
            <w:vAlign w:val="bottom"/>
            <w:gridSpan w:val="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8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gridSpan w:val="12"/>
          </w:tcPr>
          <w:p>
            <w:pPr>
              <w:jc w:val="center"/>
              <w:ind w:right="3460"/>
              <w:spacing w:after="0"/>
              <w:rPr>
                <w:sz w:val="20"/>
                <w:szCs w:val="20"/>
                <w:color w:val="auto"/>
              </w:rPr>
            </w:pPr>
            <w:r>
              <w:rPr>
                <w:rFonts w:ascii="Times New Roman" w:cs="Times New Roman" w:eastAsia="Times New Roman" w:hAnsi="Times New Roman"/>
                <w:sz w:val="18"/>
                <w:szCs w:val="18"/>
                <w:color w:val="0000FF"/>
                <w:w w:val="95"/>
              </w:rPr>
              <w:t>PART I</w:t>
            </w:r>
          </w:p>
        </w:tc>
        <w:tc>
          <w:tcPr>
            <w:tcW w:w="9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20" w:type="dxa"/>
            <w:vAlign w:val="bottom"/>
          </w:tcPr>
          <w:p>
            <w:pPr>
              <w:spacing w:after="0"/>
              <w:rPr>
                <w:sz w:val="18"/>
                <w:szCs w:val="18"/>
                <w:color w:val="auto"/>
              </w:rPr>
            </w:pPr>
          </w:p>
        </w:tc>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3120" w:type="dxa"/>
            <w:vAlign w:val="bottom"/>
            <w:gridSpan w:val="17"/>
          </w:tcPr>
          <w:p>
            <w:pPr>
              <w:spacing w:after="0"/>
              <w:rPr>
                <w:sz w:val="18"/>
                <w:szCs w:val="18"/>
                <w:color w:val="auto"/>
              </w:rPr>
            </w:pPr>
          </w:p>
        </w:tc>
        <w:tc>
          <w:tcPr>
            <w:tcW w:w="540" w:type="dxa"/>
            <w:vAlign w:val="bottom"/>
            <w:tcBorders>
              <w:top w:val="single" w:sz="8" w:color="0000FF"/>
            </w:tcBorders>
            <w:gridSpan w:val="2"/>
          </w:tcPr>
          <w:p>
            <w:pPr>
              <w:spacing w:after="0"/>
              <w:rPr>
                <w:sz w:val="18"/>
                <w:szCs w:val="18"/>
                <w:color w:val="auto"/>
              </w:rPr>
            </w:pPr>
          </w:p>
        </w:tc>
        <w:tc>
          <w:tcPr>
            <w:tcW w:w="3500" w:type="dxa"/>
            <w:vAlign w:val="bottom"/>
            <w:gridSpan w:val="9"/>
          </w:tcPr>
          <w:p>
            <w:pPr>
              <w:spacing w:after="0"/>
              <w:rPr>
                <w:sz w:val="18"/>
                <w:szCs w:val="18"/>
                <w:color w:val="auto"/>
              </w:rPr>
            </w:pPr>
          </w:p>
        </w:tc>
        <w:tc>
          <w:tcPr>
            <w:tcW w:w="100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20" w:type="dxa"/>
            <w:vAlign w:val="bottom"/>
          </w:tcPr>
          <w:p>
            <w:pPr>
              <w:spacing w:after="0"/>
              <w:rPr>
                <w:sz w:val="18"/>
                <w:szCs w:val="18"/>
                <w:color w:val="auto"/>
              </w:rPr>
            </w:pPr>
          </w:p>
        </w:tc>
        <w:tc>
          <w:tcPr>
            <w:tcW w:w="78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20" w:type="dxa"/>
            <w:vAlign w:val="bottom"/>
          </w:tcPr>
          <w:p>
            <w:pPr>
              <w:spacing w:after="0"/>
              <w:rPr>
                <w:sz w:val="18"/>
                <w:szCs w:val="18"/>
                <w:color w:val="auto"/>
              </w:rPr>
            </w:pPr>
          </w:p>
        </w:tc>
        <w:tc>
          <w:tcPr>
            <w:tcW w:w="78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19</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1C.</w:t>
            </w:r>
          </w:p>
        </w:tc>
        <w:tc>
          <w:tcPr>
            <w:tcW w:w="20" w:type="dxa"/>
            <w:vAlign w:val="bottom"/>
          </w:tcPr>
          <w:p>
            <w:pPr>
              <w:spacing w:after="0"/>
              <w:rPr>
                <w:sz w:val="18"/>
                <w:szCs w:val="18"/>
                <w:color w:val="auto"/>
              </w:rPr>
            </w:pPr>
          </w:p>
        </w:tc>
        <w:tc>
          <w:tcPr>
            <w:tcW w:w="20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5760" w:type="dxa"/>
            <w:vAlign w:val="bottom"/>
            <w:gridSpan w:val="19"/>
          </w:tcPr>
          <w:p>
            <w:pPr>
              <w:spacing w:after="0"/>
              <w:rPr>
                <w:sz w:val="18"/>
                <w:szCs w:val="18"/>
                <w:color w:val="auto"/>
              </w:rPr>
            </w:pP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20" w:type="dxa"/>
            <w:vAlign w:val="bottom"/>
          </w:tcPr>
          <w:p>
            <w:pPr>
              <w:spacing w:after="0"/>
              <w:rPr>
                <w:sz w:val="18"/>
                <w:szCs w:val="18"/>
                <w:color w:val="auto"/>
              </w:rPr>
            </w:pPr>
          </w:p>
        </w:tc>
        <w:tc>
          <w:tcPr>
            <w:tcW w:w="10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6800" w:type="dxa"/>
            <w:vAlign w:val="bottom"/>
            <w:gridSpan w:val="24"/>
          </w:tcPr>
          <w:p>
            <w:pPr>
              <w:spacing w:after="0"/>
              <w:rPr>
                <w:sz w:val="18"/>
                <w:szCs w:val="18"/>
                <w:color w:val="auto"/>
              </w:rPr>
            </w:pP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21</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20" w:type="dxa"/>
            <w:vAlign w:val="bottom"/>
          </w:tcPr>
          <w:p>
            <w:pPr>
              <w:spacing w:after="0"/>
              <w:rPr>
                <w:sz w:val="18"/>
                <w:szCs w:val="18"/>
                <w:color w:val="auto"/>
              </w:rPr>
            </w:pPr>
          </w:p>
        </w:tc>
        <w:tc>
          <w:tcPr>
            <w:tcW w:w="13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6480" w:type="dxa"/>
            <w:vAlign w:val="bottom"/>
            <w:gridSpan w:val="22"/>
          </w:tcPr>
          <w:p>
            <w:pPr>
              <w:spacing w:after="0"/>
              <w:rPr>
                <w:sz w:val="18"/>
                <w:szCs w:val="18"/>
                <w:color w:val="auto"/>
              </w:rPr>
            </w:pP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21</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20" w:type="dxa"/>
            <w:vAlign w:val="bottom"/>
          </w:tcPr>
          <w:p>
            <w:pPr>
              <w:spacing w:after="0"/>
              <w:rPr>
                <w:sz w:val="18"/>
                <w:szCs w:val="18"/>
                <w:color w:val="auto"/>
              </w:rPr>
            </w:pPr>
          </w:p>
        </w:tc>
        <w:tc>
          <w:tcPr>
            <w:tcW w:w="78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21</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80" w:type="dxa"/>
            <w:vAlign w:val="bottom"/>
            <w:gridSpan w:val="12"/>
          </w:tcPr>
          <w:p>
            <w:pPr>
              <w:jc w:val="center"/>
              <w:ind w:right="3480"/>
              <w:spacing w:after="0"/>
              <w:rPr>
                <w:sz w:val="20"/>
                <w:szCs w:val="20"/>
                <w:color w:val="auto"/>
              </w:rPr>
            </w:pPr>
            <w:r>
              <w:rPr>
                <w:rFonts w:ascii="Times New Roman" w:cs="Times New Roman" w:eastAsia="Times New Roman" w:hAnsi="Times New Roman"/>
                <w:sz w:val="18"/>
                <w:szCs w:val="18"/>
                <w:color w:val="0000FF"/>
                <w:w w:val="95"/>
              </w:rPr>
              <w:t>PART II</w:t>
            </w:r>
          </w:p>
        </w:tc>
        <w:tc>
          <w:tcPr>
            <w:tcW w:w="9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20" w:type="dxa"/>
            <w:vAlign w:val="bottom"/>
          </w:tcPr>
          <w:p>
            <w:pPr>
              <w:spacing w:after="0"/>
              <w:rPr>
                <w:sz w:val="18"/>
                <w:szCs w:val="18"/>
                <w:color w:val="auto"/>
              </w:rPr>
            </w:pPr>
          </w:p>
        </w:tc>
        <w:tc>
          <w:tcPr>
            <w:tcW w:w="680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w:t>
            </w:r>
          </w:p>
        </w:tc>
        <w:tc>
          <w:tcPr>
            <w:tcW w:w="1000" w:type="dxa"/>
            <w:vAlign w:val="bottom"/>
          </w:tcPr>
          <w:p>
            <w:pPr>
              <w:spacing w:after="0"/>
              <w:rPr>
                <w:sz w:val="18"/>
                <w:szCs w:val="18"/>
                <w:color w:val="auto"/>
              </w:rPr>
            </w:pPr>
          </w:p>
        </w:tc>
        <w:tc>
          <w:tcPr>
            <w:tcW w:w="11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22</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8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240" w:type="dxa"/>
            <w:vAlign w:val="bottom"/>
            <w:gridSpan w:val="7"/>
            <w:vMerge w:val="restart"/>
          </w:tcPr>
          <w:p>
            <w:pPr>
              <w:spacing w:after="0" w:line="156" w:lineRule="exact"/>
              <w:rPr>
                <w:sz w:val="20"/>
                <w:szCs w:val="20"/>
                <w:color w:val="auto"/>
              </w:rPr>
            </w:pPr>
            <w:r>
              <w:rPr>
                <w:rFonts w:ascii="Times New Roman" w:cs="Times New Roman" w:eastAsia="Times New Roman" w:hAnsi="Times New Roman"/>
                <w:sz w:val="18"/>
                <w:szCs w:val="18"/>
                <w:color w:val="0000FF"/>
                <w:w w:val="98"/>
              </w:rPr>
              <w:t>Equity Securities</w:t>
            </w:r>
          </w:p>
        </w:tc>
        <w:tc>
          <w:tcPr>
            <w:tcW w:w="6560" w:type="dxa"/>
            <w:vAlign w:val="bottom"/>
            <w:gridSpan w:val="23"/>
            <w:vMerge w:val="restart"/>
          </w:tcPr>
          <w:p>
            <w:pPr>
              <w:spacing w:after="0"/>
              <w:rPr>
                <w:sz w:val="6"/>
                <w:szCs w:val="6"/>
                <w:color w:val="auto"/>
              </w:rPr>
            </w:pPr>
          </w:p>
        </w:tc>
        <w:tc>
          <w:tcPr>
            <w:tcW w:w="1120" w:type="dxa"/>
            <w:vAlign w:val="bottom"/>
            <w:gridSpan w:val="4"/>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tcBorders>
              <w:bottom w:val="single" w:sz="8" w:color="0000FF"/>
            </w:tcBorders>
            <w:gridSpan w:val="7"/>
            <w:vMerge w:val="continue"/>
          </w:tcPr>
          <w:p>
            <w:pPr>
              <w:spacing w:after="0"/>
              <w:rPr>
                <w:sz w:val="5"/>
                <w:szCs w:val="5"/>
                <w:color w:val="auto"/>
              </w:rPr>
            </w:pPr>
          </w:p>
        </w:tc>
        <w:tc>
          <w:tcPr>
            <w:tcW w:w="6560" w:type="dxa"/>
            <w:vAlign w:val="bottom"/>
            <w:gridSpan w:val="23"/>
            <w:vMerge w:val="continue"/>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20" w:type="dxa"/>
            <w:vAlign w:val="bottom"/>
          </w:tcPr>
          <w:p>
            <w:pPr>
              <w:spacing w:after="0"/>
              <w:rPr>
                <w:sz w:val="19"/>
                <w:szCs w:val="19"/>
                <w:color w:val="auto"/>
              </w:rPr>
            </w:pPr>
          </w:p>
        </w:tc>
        <w:tc>
          <w:tcPr>
            <w:tcW w:w="78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Reserved</w:t>
            </w: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22</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20" w:type="dxa"/>
            <w:vAlign w:val="bottom"/>
          </w:tcPr>
          <w:p>
            <w:pPr>
              <w:spacing w:after="0"/>
              <w:rPr>
                <w:sz w:val="18"/>
                <w:szCs w:val="18"/>
                <w:color w:val="auto"/>
              </w:rPr>
            </w:pPr>
          </w:p>
        </w:tc>
        <w:tc>
          <w:tcPr>
            <w:tcW w:w="64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340" w:type="dxa"/>
            <w:vAlign w:val="bottom"/>
            <w:gridSpan w:val="4"/>
          </w:tcPr>
          <w:p>
            <w:pPr>
              <w:spacing w:after="0"/>
              <w:rPr>
                <w:sz w:val="18"/>
                <w:szCs w:val="18"/>
                <w:color w:val="auto"/>
              </w:rPr>
            </w:pP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23</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20" w:type="dxa"/>
            <w:vAlign w:val="bottom"/>
          </w:tcPr>
          <w:p>
            <w:pPr>
              <w:spacing w:after="0"/>
              <w:rPr>
                <w:sz w:val="18"/>
                <w:szCs w:val="18"/>
                <w:color w:val="auto"/>
              </w:rPr>
            </w:pPr>
          </w:p>
        </w:tc>
        <w:tc>
          <w:tcPr>
            <w:tcW w:w="43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40" w:type="dxa"/>
            <w:vAlign w:val="bottom"/>
            <w:gridSpan w:val="4"/>
          </w:tcPr>
          <w:p>
            <w:pPr>
              <w:spacing w:after="0"/>
              <w:rPr>
                <w:sz w:val="18"/>
                <w:szCs w:val="18"/>
                <w:color w:val="auto"/>
              </w:rPr>
            </w:pPr>
          </w:p>
        </w:tc>
        <w:tc>
          <w:tcPr>
            <w:tcW w:w="1340" w:type="dxa"/>
            <w:vAlign w:val="bottom"/>
            <w:gridSpan w:val="4"/>
          </w:tcPr>
          <w:p>
            <w:pPr>
              <w:spacing w:after="0"/>
              <w:rPr>
                <w:sz w:val="18"/>
                <w:szCs w:val="18"/>
                <w:color w:val="auto"/>
              </w:rPr>
            </w:pP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36</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20" w:type="dxa"/>
            <w:vAlign w:val="bottom"/>
          </w:tcPr>
          <w:p>
            <w:pPr>
              <w:spacing w:after="0"/>
              <w:rPr>
                <w:sz w:val="18"/>
                <w:szCs w:val="18"/>
                <w:color w:val="auto"/>
              </w:rPr>
            </w:pPr>
          </w:p>
        </w:tc>
        <w:tc>
          <w:tcPr>
            <w:tcW w:w="43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3480" w:type="dxa"/>
            <w:vAlign w:val="bottom"/>
            <w:gridSpan w:val="8"/>
          </w:tcPr>
          <w:p>
            <w:pPr>
              <w:spacing w:after="0"/>
              <w:rPr>
                <w:sz w:val="18"/>
                <w:szCs w:val="18"/>
                <w:color w:val="auto"/>
              </w:rPr>
            </w:pP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36</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20" w:type="dxa"/>
            <w:vAlign w:val="bottom"/>
          </w:tcPr>
          <w:p>
            <w:pPr>
              <w:spacing w:after="0"/>
              <w:rPr>
                <w:sz w:val="18"/>
                <w:szCs w:val="18"/>
                <w:color w:val="auto"/>
              </w:rPr>
            </w:pPr>
          </w:p>
        </w:tc>
        <w:tc>
          <w:tcPr>
            <w:tcW w:w="64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1320" w:type="dxa"/>
            <w:vAlign w:val="bottom"/>
            <w:gridSpan w:val="3"/>
          </w:tcPr>
          <w:p>
            <w:pPr>
              <w:spacing w:after="0"/>
              <w:rPr>
                <w:sz w:val="18"/>
                <w:szCs w:val="18"/>
                <w:color w:val="auto"/>
              </w:rPr>
            </w:pP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36</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20" w:type="dxa"/>
            <w:vAlign w:val="bottom"/>
          </w:tcPr>
          <w:p>
            <w:pPr>
              <w:spacing w:after="0"/>
              <w:rPr>
                <w:sz w:val="18"/>
                <w:szCs w:val="18"/>
                <w:color w:val="auto"/>
              </w:rPr>
            </w:pPr>
          </w:p>
        </w:tc>
        <w:tc>
          <w:tcPr>
            <w:tcW w:w="648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320" w:type="dxa"/>
            <w:vAlign w:val="bottom"/>
            <w:gridSpan w:val="3"/>
          </w:tcPr>
          <w:p>
            <w:pPr>
              <w:spacing w:after="0"/>
              <w:rPr>
                <w:sz w:val="18"/>
                <w:szCs w:val="18"/>
                <w:color w:val="auto"/>
              </w:rPr>
            </w:pP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37</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20" w:type="dxa"/>
            <w:vAlign w:val="bottom"/>
          </w:tcPr>
          <w:p>
            <w:pPr>
              <w:spacing w:after="0"/>
              <w:rPr>
                <w:sz w:val="18"/>
                <w:szCs w:val="18"/>
                <w:color w:val="auto"/>
              </w:rPr>
            </w:pPr>
          </w:p>
        </w:tc>
        <w:tc>
          <w:tcPr>
            <w:tcW w:w="13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gridSpan w:val="2"/>
          </w:tcPr>
          <w:p>
            <w:pPr>
              <w:spacing w:after="0"/>
              <w:rPr>
                <w:sz w:val="18"/>
                <w:szCs w:val="18"/>
                <w:color w:val="auto"/>
              </w:rPr>
            </w:pPr>
          </w:p>
        </w:tc>
        <w:tc>
          <w:tcPr>
            <w:tcW w:w="6040" w:type="dxa"/>
            <w:vAlign w:val="bottom"/>
            <w:gridSpan w:val="20"/>
          </w:tcPr>
          <w:p>
            <w:pPr>
              <w:spacing w:after="0"/>
              <w:rPr>
                <w:sz w:val="18"/>
                <w:szCs w:val="18"/>
                <w:color w:val="auto"/>
              </w:rPr>
            </w:pP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37</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20" w:type="dxa"/>
            <w:vAlign w:val="bottom"/>
          </w:tcPr>
          <w:p>
            <w:pPr>
              <w:spacing w:after="0"/>
              <w:rPr>
                <w:sz w:val="18"/>
                <w:szCs w:val="18"/>
                <w:color w:val="auto"/>
              </w:rPr>
            </w:pPr>
          </w:p>
        </w:tc>
        <w:tc>
          <w:tcPr>
            <w:tcW w:w="49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2900" w:type="dxa"/>
            <w:vAlign w:val="bottom"/>
            <w:gridSpan w:val="7"/>
          </w:tcPr>
          <w:p>
            <w:pPr>
              <w:spacing w:after="0"/>
              <w:rPr>
                <w:sz w:val="18"/>
                <w:szCs w:val="18"/>
                <w:color w:val="auto"/>
              </w:rPr>
            </w:pP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37</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20" w:type="dxa"/>
            <w:vAlign w:val="bottom"/>
            <w:tcBorders>
              <w:top w:val="single" w:sz="8" w:color="0000FF"/>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6"/>
              </w:rPr>
              <w:t>PART III</w:t>
            </w:r>
          </w:p>
        </w:tc>
        <w:tc>
          <w:tcPr>
            <w:tcW w:w="580" w:type="dxa"/>
            <w:vAlign w:val="bottom"/>
            <w:tcBorders>
              <w:top w:val="single" w:sz="8" w:color="0000FF"/>
            </w:tcBorders>
          </w:tcPr>
          <w:p>
            <w:pPr>
              <w:spacing w:after="0"/>
              <w:rPr>
                <w:sz w:val="18"/>
                <w:szCs w:val="18"/>
                <w:color w:val="auto"/>
              </w:rPr>
            </w:pPr>
          </w:p>
        </w:tc>
        <w:tc>
          <w:tcPr>
            <w:tcW w:w="2900" w:type="dxa"/>
            <w:vAlign w:val="bottom"/>
            <w:gridSpan w:val="7"/>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20" w:type="dxa"/>
            <w:vAlign w:val="bottom"/>
          </w:tcPr>
          <w:p>
            <w:pPr>
              <w:spacing w:after="0"/>
              <w:rPr>
                <w:sz w:val="18"/>
                <w:szCs w:val="18"/>
                <w:color w:val="auto"/>
              </w:rPr>
            </w:pPr>
          </w:p>
        </w:tc>
        <w:tc>
          <w:tcPr>
            <w:tcW w:w="78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38</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20" w:type="dxa"/>
            <w:vAlign w:val="bottom"/>
          </w:tcPr>
          <w:p>
            <w:pPr>
              <w:spacing w:after="0"/>
              <w:rPr>
                <w:sz w:val="18"/>
                <w:szCs w:val="18"/>
                <w:color w:val="auto"/>
              </w:rPr>
            </w:pPr>
          </w:p>
        </w:tc>
        <w:tc>
          <w:tcPr>
            <w:tcW w:w="40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3720" w:type="dxa"/>
            <w:vAlign w:val="bottom"/>
            <w:gridSpan w:val="10"/>
          </w:tcPr>
          <w:p>
            <w:pPr>
              <w:spacing w:after="0"/>
              <w:rPr>
                <w:sz w:val="18"/>
                <w:szCs w:val="18"/>
                <w:color w:val="auto"/>
              </w:rPr>
            </w:pP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38</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20" w:type="dxa"/>
            <w:vAlign w:val="bottom"/>
          </w:tcPr>
          <w:p>
            <w:pPr>
              <w:spacing w:after="0"/>
              <w:rPr>
                <w:sz w:val="18"/>
                <w:szCs w:val="18"/>
                <w:color w:val="auto"/>
              </w:rPr>
            </w:pPr>
          </w:p>
        </w:tc>
        <w:tc>
          <w:tcPr>
            <w:tcW w:w="670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w:t>
            </w:r>
          </w:p>
        </w:tc>
        <w:tc>
          <w:tcPr>
            <w:tcW w:w="1100" w:type="dxa"/>
            <w:vAlign w:val="bottom"/>
            <w:gridSpan w:val="2"/>
          </w:tcPr>
          <w:p>
            <w:pPr>
              <w:spacing w:after="0"/>
              <w:rPr>
                <w:sz w:val="18"/>
                <w:szCs w:val="18"/>
                <w:color w:val="auto"/>
              </w:rPr>
            </w:pPr>
          </w:p>
        </w:tc>
        <w:tc>
          <w:tcPr>
            <w:tcW w:w="11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38</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8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800" w:type="dxa"/>
            <w:vAlign w:val="bottom"/>
            <w:gridSpan w:val="30"/>
            <w:vMerge w:val="restart"/>
          </w:tcPr>
          <w:p>
            <w:pPr>
              <w:spacing w:after="0" w:line="156" w:lineRule="exact"/>
              <w:rPr>
                <w:sz w:val="20"/>
                <w:szCs w:val="20"/>
                <w:color w:val="auto"/>
              </w:rPr>
            </w:pPr>
            <w:r>
              <w:rPr>
                <w:rFonts w:ascii="Times New Roman" w:cs="Times New Roman" w:eastAsia="Times New Roman" w:hAnsi="Times New Roman"/>
                <w:sz w:val="18"/>
                <w:szCs w:val="18"/>
                <w:color w:val="0000FF"/>
              </w:rPr>
              <w:t>Matters</w:t>
            </w:r>
          </w:p>
        </w:tc>
        <w:tc>
          <w:tcPr>
            <w:tcW w:w="1120" w:type="dxa"/>
            <w:vAlign w:val="bottom"/>
            <w:gridSpan w:val="4"/>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0" w:type="dxa"/>
            <w:vAlign w:val="bottom"/>
            <w:gridSpan w:val="30"/>
            <w:vMerge w:val="continue"/>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20" w:type="dxa"/>
            <w:vAlign w:val="bottom"/>
          </w:tcPr>
          <w:p>
            <w:pPr>
              <w:spacing w:after="0"/>
              <w:rPr>
                <w:sz w:val="19"/>
                <w:szCs w:val="19"/>
                <w:color w:val="auto"/>
              </w:rPr>
            </w:pPr>
          </w:p>
        </w:tc>
        <w:tc>
          <w:tcPr>
            <w:tcW w:w="78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38</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20" w:type="dxa"/>
            <w:vAlign w:val="bottom"/>
          </w:tcPr>
          <w:p>
            <w:pPr>
              <w:spacing w:after="0"/>
              <w:rPr>
                <w:sz w:val="18"/>
                <w:szCs w:val="18"/>
                <w:color w:val="auto"/>
              </w:rPr>
            </w:pPr>
          </w:p>
        </w:tc>
        <w:tc>
          <w:tcPr>
            <w:tcW w:w="54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2360" w:type="dxa"/>
            <w:vAlign w:val="bottom"/>
            <w:gridSpan w:val="5"/>
          </w:tcPr>
          <w:p>
            <w:pPr>
              <w:spacing w:after="0"/>
              <w:rPr>
                <w:sz w:val="18"/>
                <w:szCs w:val="18"/>
                <w:color w:val="auto"/>
              </w:rPr>
            </w:pP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38</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8"/>
                <w:szCs w:val="18"/>
                <w:color w:val="0000FF"/>
                <w:w w:val="97"/>
              </w:rPr>
              <w:t>PART IV</w:t>
            </w:r>
          </w:p>
        </w:tc>
        <w:tc>
          <w:tcPr>
            <w:tcW w:w="3480" w:type="dxa"/>
            <w:vAlign w:val="bottom"/>
            <w:gridSpan w:val="8"/>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20" w:type="dxa"/>
            <w:vAlign w:val="bottom"/>
          </w:tcPr>
          <w:p>
            <w:pPr>
              <w:spacing w:after="0"/>
              <w:rPr>
                <w:sz w:val="18"/>
                <w:szCs w:val="18"/>
                <w:color w:val="auto"/>
              </w:rPr>
            </w:pPr>
          </w:p>
        </w:tc>
        <w:tc>
          <w:tcPr>
            <w:tcW w:w="31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Exhibits and Financial Statement Schedules</w:t>
            </w:r>
          </w:p>
        </w:tc>
        <w:tc>
          <w:tcPr>
            <w:tcW w:w="4640" w:type="dxa"/>
            <w:vAlign w:val="bottom"/>
            <w:gridSpan w:val="16"/>
          </w:tcPr>
          <w:p>
            <w:pPr>
              <w:spacing w:after="0"/>
              <w:rPr>
                <w:sz w:val="18"/>
                <w:szCs w:val="18"/>
                <w:color w:val="auto"/>
              </w:rPr>
            </w:pP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39</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1620" w:type="dxa"/>
            <w:vAlign w:val="bottom"/>
            <w:tcBorders>
              <w:right w:val="single" w:sz="8" w:color="0000FF"/>
            </w:tcBorders>
            <w:gridSpan w:val="5"/>
            <w:shd w:val="clear" w:color="auto" w:fill="0000FF"/>
          </w:tcPr>
          <w:p>
            <w:pPr>
              <w:spacing w:after="0" w:line="20" w:lineRule="exact"/>
              <w:rPr>
                <w:sz w:val="1"/>
                <w:szCs w:val="1"/>
                <w:color w:val="auto"/>
              </w:rPr>
            </w:pPr>
          </w:p>
        </w:tc>
        <w:tc>
          <w:tcPr>
            <w:tcW w:w="4640" w:type="dxa"/>
            <w:vAlign w:val="bottom"/>
            <w:gridSpan w:val="1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20" w:type="dxa"/>
            <w:vAlign w:val="bottom"/>
          </w:tcPr>
          <w:p>
            <w:pPr>
              <w:spacing w:after="0"/>
              <w:rPr>
                <w:sz w:val="18"/>
                <w:szCs w:val="18"/>
                <w:color w:val="auto"/>
              </w:rPr>
            </w:pPr>
          </w:p>
        </w:tc>
        <w:tc>
          <w:tcPr>
            <w:tcW w:w="31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4640" w:type="dxa"/>
            <w:vAlign w:val="bottom"/>
            <w:gridSpan w:val="16"/>
          </w:tcPr>
          <w:p>
            <w:pPr>
              <w:spacing w:after="0"/>
              <w:rPr>
                <w:sz w:val="18"/>
                <w:szCs w:val="18"/>
                <w:color w:val="auto"/>
              </w:rPr>
            </w:pP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4640" w:type="dxa"/>
            <w:vAlign w:val="bottom"/>
            <w:gridSpan w:val="1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780" w:type="dxa"/>
            <w:vAlign w:val="bottom"/>
            <w:gridSpan w:val="5"/>
          </w:tcPr>
          <w:p>
            <w:pPr>
              <w:spacing w:after="0"/>
              <w:rPr>
                <w:sz w:val="18"/>
                <w:szCs w:val="18"/>
                <w:color w:val="auto"/>
              </w:rPr>
            </w:pPr>
          </w:p>
        </w:tc>
        <w:tc>
          <w:tcPr>
            <w:tcW w:w="6260" w:type="dxa"/>
            <w:vAlign w:val="bottom"/>
            <w:gridSpan w:val="21"/>
          </w:tcPr>
          <w:p>
            <w:pPr>
              <w:spacing w:after="0"/>
              <w:rPr>
                <w:sz w:val="18"/>
                <w:szCs w:val="18"/>
                <w:color w:val="auto"/>
              </w:rPr>
            </w:pP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41</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Index to Consolidated Financial Statements</w:t>
            </w: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42</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0"/>
        </w:trPr>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 xml:space="preserve">This Annual Report on Form 10-K contains certain forward-looking statements, within the meaning of Section 27A of the Securities Act of 1933, as amended (the “Securities Act”), and Section 21E of the Securities Exchange Act of 1934, as amended (the “Exchange Act”), and information pertaining to us, our industry and the oil and gas industry that is based on the beliefs of our management, as well as assumptions made by and information currently available to our management. All statements, other than statements of historical facts contained in this Annual Report on Form 10-K, including statements regarding our future financial position, growth strategy, budgets, projected costs, plans and objectives of management for future operations, are forward-looking statements. We use the words “may,” “will,” “expect,” “anticipate,” “estimate,” “guidance,” “believe,” “continue,” “intend,” “plan,” “budget” and other similar words to identify forward-looking statements. You should read statements that contain these words carefully and should not place undue reliance on these statements because they discuss future expectations, contain projections of results of operations or of our financial condition and/or state other “forward-looking” information. We do not undertake any obligation to update or revise publicly any forward-looking statements. Although we believe our expectations reflected in these forward-looking statements are based on reasonable assumptions, no assurance can be given that these expectations or assumptions will prove to have been correct. Important factors that could cause actual results to differ materially from the expectations reflected in the forward-looking statements include, but are not limited to, the following factors and the other factors described in </w:t>
      </w:r>
      <w:r>
        <w:rPr>
          <w:rFonts w:ascii="Times New Roman" w:cs="Times New Roman" w:eastAsia="Times New Roman" w:hAnsi="Times New Roman"/>
          <w:sz w:val="17"/>
          <w:szCs w:val="17"/>
          <w:u w:val="single" w:color="auto"/>
          <w:color w:val="0000FF"/>
        </w:rPr>
        <w:t>Part I, Item 1A. “Risk Factors”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0000FF"/>
        </w:rPr>
        <w:t>Part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II, Item 7. “Management’s Discussion and Analysis of Financial Condition and Results of Operations”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of this Annual Report on Form 10-K:</w:t>
      </w:r>
    </w:p>
    <w:p>
      <w:pPr>
        <w:spacing w:after="0" w:line="1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oil and gas industry, including the supply and demand for oil and gas and volatility in the prices of oil and gas;</w:t>
      </w:r>
    </w:p>
    <w:p>
      <w:pPr>
        <w:spacing w:after="0" w:line="27"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and financial conditions, inflationary pressures, the potential for economic recession in the U.S., tariffs and trade restrictions, including the imposition of new and higher tariffs on imported goods and retaliatory tariffs implemented by other countries on U.S. goods, and the potential effects on our financial condition, results of operations and cash flows;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major customers;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projected organic growth due to adverse changes in the oil and gas industry, including depressed oil and gas prices, oppressive environmental regulations and competition;</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achieve increased utilization of assets, including rental fleet utilization and monetizing other non-cash balance sheet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customers to continue to rent equipment after expiration of the primary rental term;</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economically develop and deploy new technologies and services, including technology to comply with health and environmental laws and regulations;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achieve accretive financial results in connection with any acquisitions we may make;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dividends, distributions and share repurchases;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 or prohibition of new well or current completion techniques;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among the various providers of compression services and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safety, health and environmental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or political conditions in the markets in which we operate;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risks associated with our operations, such as equipment defects, malfunctions, natural disasters and adverse changes in customer, employee and supplier relationships;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comply with covenants in our debt agreements and the decreased financial flexibility associated with our debt;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finance our future capital requirements and availability of financing;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threats, including increased use of artificial intelligence and other emerging technologies;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availability, costs and performance of our outsourced compressor fabrication providers and overall inflationary pressures;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world events, such as acts of terrorism, the conflicts in Iran, Ukraine, Venezuela and in the greater Middle East, and significant economic disruptions and adverse consequences resulting from possible long-term effects of potential pandemics and other public health crises;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4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it is important to communicate our expectations of future performance to our investors. However, events may occur in the future that we are unable to accurately predict or that we are unable to control. When considering our forward-looking statements, you should keep in mind the risk factors and other cautionary statements in this Annual Report on Form 10-K.</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Glossary of Industry Terms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“basin” – A large, low-lying geological depression containing a complex of petroleum source rocks. The Permian Basin, within which we operate a substantial portion of our compressor fleet, is considered to be the largest petroleum producing basin in the United States (“U.S.”).</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“compressor” – In the energy industry, a compressor is utilized to facilitate a mechanical process to increase the pressure of natural gas by reducing its volume so that it can be transported through gathering and pipeline systems, injected into a reservoir for storage or injected into a well to enhance the recovery of petroleum products, among other applications. Various forms of compressors are used in the energy industry including reciprocating and screw types, among others. Compressors can be powered by natural gas from the wellhead or electricity from a power grid.</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“gas lift” – A production technique whereby natural gas is injected into a well to increase/improve the oil production.</w:t>
      </w:r>
    </w:p>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“horsepower” – A unit of measurement for the power produced by an engine in a compressor unit. Horsepower is calculated by multiplying the amount of force (in pounds) by the speed (in feet per second). One horsepower is equivalent to the power necessary to move 550 pounds one foot in one second. We classify our compressor units as large, medium or small based on their horsepower. Our large horsepower compressor units are 400 horsepower or more, medium horsepower units are 200 to 399 horsepower and small horsepower units are below 200 horsepower.</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“HPGL” – High pressure gas lift.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“LNG” – Liquified natural gas.</w:t>
      </w:r>
    </w:p>
    <w:p>
      <w:pPr>
        <w:spacing w:after="0" w:line="11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“oil shale” – Also referred to as tight oil, is petroleum that consists of light crude oil contained in petroleum-bearing formations of low-permeability, often shales or tight sandstones.</w:t>
      </w: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“OEM” – Original equipment manufacturer refers to the company that makes a product to be sold by another company under its own name. We have several key OEM vendors that provide critical components to our compressor units including Caterpillar, Cummins and Waukesha for engines, Ariel for compressor frames and FW Murphy for controls, among others.</w:t>
      </w:r>
    </w:p>
    <w:p>
      <w:pPr>
        <w:spacing w:after="0" w:line="6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“OPEC” – The Organization of Petroleum Exporting Countries. Through its actions, this organization has a significant impact on the determination of global crude oil prices.</w:t>
      </w:r>
    </w:p>
    <w:p>
      <w:pPr>
        <w:spacing w:after="0" w:line="5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“play” – A geological term that refers to a group of oil and gas prospects within the same region that are controlled by the same set of geological circumstances. Plays are generally considered “conventional” when the resources can be extracted through traditional vertical wells or “unconventional” whereby the resources are tightly bound to the rock (generally shales and sandstones) requiring specialized measures for extraction including directional or horizontal drilling and hydraulic fracturing.</w:t>
      </w:r>
    </w:p>
    <w:p>
      <w:pPr>
        <w:spacing w:after="0" w:line="7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“reciprocating compressors” – A reciprocating compressor is a positive displacement device which compresses gas and/or vapor by using a piston in a cylinder and a back-and-forth, or reciprocating, motion.</w:t>
      </w:r>
    </w:p>
    <w:p>
      <w:pPr>
        <w:spacing w:after="0" w:line="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“screw compressors” – A positive displacement compressor used in low-pressure and vapor compression applications where two rotating rotors intermesh to create pockets of continuously decreasing volume, in which the gas is compressed and its pressure is increased.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9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references in this Annual Report on Form 10-K to “Natural Gas Services Group,” the “Company,” “NGS,” “we,” “us,” or “our” refer to Natural Gas Services Group, Inc. and its consolidated subsidiary, NGSG Properties, LLC. Certain specialized terms used in describing our natural gas compressor business are defined in “Glossary of Industry Terms” on page ii.</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were incorporated in December 1998 and initially operated as a holding company of a group of subsidiaries that were engaged in the manufacturing, operation and leasing of natural gas compression equipment, flares and related assets to the natural gas industry with a focus on unconventional natural gas production plays in the U.S. (such as coalbed methane, gas shales and tight gas). We completed our initial public offering in October 2002 and our common stock began trading on the American Stock Exchange under the symbol “NGS.” In October 2008, our common stock began trading on the New York Stock Exchange.</w:t>
      </w:r>
    </w:p>
    <w:p>
      <w:pPr>
        <w:spacing w:after="0" w:line="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Today, we are a premier provider of natural gas and electric compression equipment, technology and services to the energy industry. We rent, design, install, service and maintain natural gas engine and electric motor drive compressors for oil and gas production and processing facilities. We also provide aftermarket services in the form of call-out services on customer-owned equipment as well as commissioning of new units for customers. We are headquartered in Southlake, Texas, with administrative offices in Midland, Texas, an engineering facility located in Tulsa, Oklahoma and service facilities located in several major oil and gas producing basins in the U.S.</w:t>
      </w:r>
    </w:p>
    <w:p>
      <w:pPr>
        <w:spacing w:after="0" w:line="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primary business and source of revenue and gross profit is derived from the rental of natural gas engine and electric motor drive compressor units for applications associated with oil and gas production with a focus on large and medium horsepower applications. Our customers, specifically for large and medium horsepower units, are exploration and production (“E&amp;P”) companies that utilize our compressor units for artificial lift, or “gas lift,” applications (i.e., production enhancement enabled with high-pressure gas compression equipment) in unconventional oil wells on single and multi-well pads. In addition, our customer base includes oil and gas E&amp;P companies that focus primarily on natural gas production (with typically smaller horsepower applications). Our largest rental area is the Permian Basin (78 percent of rental revenues in 2025), with the majority of our remaining rental revenue generated in other oil and gas producing regions and basins in Texas, New Mexico and Ohio, including the San Juan Basin, the Utica and Marcellus Shales in Ohio, the Texas Panhandle, the Barnett Shale, and the Eagle Ford Shale. Other regions and plays in which we provide services include central and western Oklahoma and the Antrim Shale in Michigan.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April 2025, we secured an amendment to our senior secured revolving credit agreement, as amended (the “Credit Facility”) to (i) increase our total commitment to $400.0 million, (ii) expand the accordion feature to $100.0 million, (iii) reduce interest rates at comparable leverage levels and (iv) provide for a more flexible leverage covenant. See </w:t>
      </w:r>
      <w:r>
        <w:rPr>
          <w:rFonts w:ascii="Times New Roman" w:cs="Times New Roman" w:eastAsia="Times New Roman" w:hAnsi="Times New Roman"/>
          <w:sz w:val="18"/>
          <w:szCs w:val="18"/>
          <w:u w:val="single" w:color="auto"/>
          <w:color w:val="0000FF"/>
        </w:rPr>
        <w:t>Note 10 (“Long-Term Debt”)</w:t>
      </w:r>
      <w:r>
        <w:rPr>
          <w:rFonts w:ascii="Times New Roman" w:cs="Times New Roman" w:eastAsia="Times New Roman" w:hAnsi="Times New Roman"/>
          <w:sz w:val="18"/>
          <w:szCs w:val="18"/>
          <w:color w:val="auto"/>
        </w:rPr>
        <w:t xml:space="preserve"> to our Consolidated Financial Statements.</w:t>
      </w:r>
    </w:p>
    <w:p>
      <w:pPr>
        <w:spacing w:after="0" w:line="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Throughout 2025, we expanded our fleet horsepower by approximately 11 percent to approximately 663,000 horsepower primarily from the addition of 70 new large (over 400 horsepower) compressor units. This increase in fleet horsepower contributed substantially to a 14 percent increase in rental revenues to approximately $164 million.</w:t>
      </w:r>
    </w:p>
    <w:p>
      <w:pPr>
        <w:spacing w:after="0" w:line="14"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 xml:space="preserve">We initiated a common stock dividend during the third quarter of 2025 for $0.10 per share and increased it to $0.11 per share for the fourth quarter of 2025 and first quarter of 2026. See </w:t>
      </w:r>
      <w:r>
        <w:rPr>
          <w:rFonts w:ascii="Times New Roman" w:cs="Times New Roman" w:eastAsia="Times New Roman" w:hAnsi="Times New Roman"/>
          <w:sz w:val="18"/>
          <w:szCs w:val="18"/>
          <w:u w:val="single" w:color="auto"/>
          <w:color w:val="0000FF"/>
        </w:rPr>
        <w:t>Note 14 (“Stockholders’ Equity”)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19 (“Subsequent Events”)</w:t>
      </w:r>
      <w:r>
        <w:rPr>
          <w:rFonts w:ascii="Times New Roman" w:cs="Times New Roman" w:eastAsia="Times New Roman" w:hAnsi="Times New Roman"/>
          <w:sz w:val="18"/>
          <w:szCs w:val="18"/>
          <w:color w:val="auto"/>
        </w:rPr>
        <w:t xml:space="preserve"> to our Consolidated Financial Statements.</w:t>
      </w:r>
    </w:p>
    <w:p>
      <w:pPr>
        <w:spacing w:after="0" w:line="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initiated efforts to market certain non-essential real estate properties including our former assembly facility in Midland, Texas (the “Midland Facility”) in the second quarter of 2025 and our former corporate headquarters facility, also in Midland, Texas (the “Former Headquarters Property”), in February 2026. See </w:t>
      </w:r>
      <w:r>
        <w:rPr>
          <w:rFonts w:ascii="Times New Roman" w:cs="Times New Roman" w:eastAsia="Times New Roman" w:hAnsi="Times New Roman"/>
          <w:sz w:val="18"/>
          <w:szCs w:val="18"/>
          <w:u w:val="single" w:color="auto"/>
          <w:color w:val="0000FF"/>
        </w:rPr>
        <w:t>Note 5 (“Assets Held for Sale and Restructuring Activities”)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Note 7 (“Property and Equipment”)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19 (“Subsequent Events”)</w:t>
      </w:r>
      <w:r>
        <w:rPr>
          <w:rFonts w:ascii="Times New Roman" w:cs="Times New Roman" w:eastAsia="Times New Roman" w:hAnsi="Times New Roman"/>
          <w:sz w:val="18"/>
          <w:szCs w:val="18"/>
          <w:color w:val="auto"/>
        </w:rPr>
        <w:t xml:space="preserve"> to our Consolidated Financial Statements.</w:t>
      </w:r>
    </w:p>
    <w:p>
      <w:pPr>
        <w:spacing w:after="0" w:line="1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 January 2026, we received over $12 million, including interest, representing a substantial portion of federal income tax refunds that were due to us since 2020. See </w:t>
      </w:r>
      <w:r>
        <w:rPr>
          <w:rFonts w:ascii="Times New Roman" w:cs="Times New Roman" w:eastAsia="Times New Roman" w:hAnsi="Times New Roman"/>
          <w:sz w:val="18"/>
          <w:szCs w:val="18"/>
          <w:u w:val="single" w:color="auto"/>
          <w:color w:val="0000FF"/>
        </w:rPr>
        <w:t>Note 11 (“Income Taxes”)</w:t>
      </w:r>
      <w:r>
        <w:rPr>
          <w:rFonts w:ascii="Times New Roman" w:cs="Times New Roman" w:eastAsia="Times New Roman" w:hAnsi="Times New Roman"/>
          <w:sz w:val="18"/>
          <w:szCs w:val="18"/>
          <w:color w:val="auto"/>
        </w:rPr>
        <w:t xml:space="preserve"> to our Consolidated Financial Statements.</w:t>
      </w:r>
    </w:p>
    <w:p>
      <w:pPr>
        <w:spacing w:after="0" w:line="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Please see </w:t>
      </w:r>
      <w:r>
        <w:rPr>
          <w:rFonts w:ascii="Times New Roman" w:cs="Times New Roman" w:eastAsia="Times New Roman" w:hAnsi="Times New Roman"/>
          <w:sz w:val="18"/>
          <w:szCs w:val="18"/>
          <w:u w:val="single" w:color="auto"/>
          <w:color w:val="0000FF"/>
        </w:rPr>
        <w:t>Part II, Item 7. “Management’s Discussion and Analysis of Financial Condition and Results of Operations”</w:t>
      </w:r>
      <w:r>
        <w:rPr>
          <w:rFonts w:ascii="Times New Roman" w:cs="Times New Roman" w:eastAsia="Times New Roman" w:hAnsi="Times New Roman"/>
          <w:sz w:val="18"/>
          <w:szCs w:val="18"/>
          <w:color w:val="auto"/>
        </w:rPr>
        <w:t xml:space="preserve"> for further information regarding our operations.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Our Operating Units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identify our operating units based upon major revenue sources as (i) Rental, (ii) Sales and (iii) Aftermarket Services.</w:t>
      </w:r>
    </w:p>
    <w:p>
      <w:pPr>
        <w:spacing w:after="0" w:line="11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Rental. </w:t>
      </w:r>
      <w:r>
        <w:rPr>
          <w:rFonts w:ascii="Times New Roman" w:cs="Times New Roman" w:eastAsia="Times New Roman" w:hAnsi="Times New Roman"/>
          <w:sz w:val="18"/>
          <w:szCs w:val="18"/>
          <w:color w:val="auto"/>
        </w:rPr>
        <w:t>Our rental compression units provide large, medium and small horsepower applications for conventional and unconventional oil and gas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Our rental contracts generally provide for initial terms ranging from 12 to 60 months and generally extend on a month-to-month basis thereafter. We believe that by outsourcing their compression needs, our customers are able to increase their revenues by producing higher volumes of oil and gas due to higher equipment run time, decrease their operating and maintenance cost of operating compression, lower their capital investment needs and more efficiently meet their changing compression needs. We maintain and service all of the compression equipment that we rent to our customers.</w:t>
      </w:r>
    </w:p>
    <w:p>
      <w:pPr>
        <w:spacing w:after="0" w:line="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size, type and geographic dispersion of our rental fleet enables us to provide our customers with a range of compression units that can serve a wide variety of applications, and to select the correct equipment for the job, rather than the customer trying to fit the job to its own equipment. We base our compressor rental rates on several factors, including the cost and size of the equipment, the type and complexity of service desired by the customer, the length of contract and the inclusion of any other services desired, such as installation, transportation and daily operation. In addition, certain of our contracts include surcharges for oil and filters as well as insurance where applicable.</w:t>
      </w:r>
    </w:p>
    <w:p>
      <w:pPr>
        <w:spacing w:after="0" w:line="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2025, we had 1,914 compressors in our rental fleet totaling 662,542 horsepower. Of this total, we had 1,245 compressors totaling 562,676 horsepower rented to customers. Approximately three percent of our compressor fleet, representing approximately four percent of our available horsepower is electric powered. The unit utilization rate of our rental fleet as of December 31, 2025, was 65.0 percent, while our horsepower utilization for the same period was 84.9 percent. During 2025, we placed into service 434 unit sets, including 364 from our existing fleet and 70 new units, with a total of 172,428 horsepower. A total of 126 of those units, including 70 new units, were 400 horsepower or larger, representing approximately 68.7 percent of the total horsepower set. This activity resulted in a 280 basis point increase in our horsepower utilization from 82.1 percent at the end of 2024 to 84.9 percent at the end of 2025.</w:t>
      </w:r>
    </w:p>
    <w:p>
      <w:pPr>
        <w:spacing w:after="0" w:line="7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w:t>
      </w:r>
      <w:r>
        <w:rPr>
          <w:rFonts w:ascii="Times New Roman" w:cs="Times New Roman" w:eastAsia="Times New Roman" w:hAnsi="Times New Roman"/>
          <w:sz w:val="18"/>
          <w:szCs w:val="18"/>
          <w:color w:val="auto"/>
        </w:rPr>
        <w:t>We design and engineer compressor components manufactured by OEM suppliers. In order to provide customer support, we also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varying levels of replacement parts at our Tulsa, Oklahoma facility and our field service locations.</w:t>
      </w:r>
    </w:p>
    <w:p>
      <w:pPr>
        <w:spacing w:after="0" w:line="47"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Aftermarket Services. </w:t>
      </w:r>
      <w:r>
        <w:rPr>
          <w:rFonts w:ascii="Times New Roman" w:cs="Times New Roman" w:eastAsia="Times New Roman" w:hAnsi="Times New Roman"/>
          <w:sz w:val="18"/>
          <w:szCs w:val="18"/>
          <w:color w:val="auto"/>
        </w:rPr>
        <w:t>We service and maintain compressors owned by our customers on an “as needed” and contract basis, as well as providing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related to the installation and start-up of new compressor units. We perform engine and compressor overhauls on a condition-based interval or a time-based schedule or at our customers’ request.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long-term intentions to grow our revenue and profitability are based on the following business strategies:</w:t>
      </w:r>
    </w:p>
    <w:p>
      <w:pPr>
        <w:spacing w:after="0" w:line="113" w:lineRule="exact"/>
        <w:rPr>
          <w:sz w:val="20"/>
          <w:szCs w:val="20"/>
          <w:color w:val="auto"/>
        </w:rPr>
      </w:pPr>
    </w:p>
    <w:p>
      <w:pPr>
        <w:jc w:val="both"/>
        <w:ind w:left="660" w:hanging="328"/>
        <w:spacing w:after="0" w:line="26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Optimize existing utilized fleet. </w:t>
      </w:r>
      <w:r>
        <w:rPr>
          <w:rFonts w:ascii="Times New Roman" w:cs="Times New Roman" w:eastAsia="Times New Roman" w:hAnsi="Times New Roman"/>
          <w:sz w:val="18"/>
          <w:szCs w:val="18"/>
          <w:color w:val="auto"/>
        </w:rPr>
        <w:t>We believe there are opportunities to modestly improve the profitability of our existing utilized rental fleet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targeted price increases, particularly in geographic areas that have experienced high rates of cost inflation, along with operational efficiencies by using improved data collection and analysis to optimize our labor, parts, and maintenance costs.</w:t>
      </w:r>
    </w:p>
    <w:p>
      <w:pPr>
        <w:spacing w:after="0" w:line="8"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Improve asset utilization. </w:t>
      </w:r>
      <w:r>
        <w:rPr>
          <w:rFonts w:ascii="Times New Roman" w:cs="Times New Roman" w:eastAsia="Times New Roman" w:hAnsi="Times New Roman"/>
          <w:sz w:val="18"/>
          <w:szCs w:val="18"/>
          <w:color w:val="auto"/>
        </w:rPr>
        <w:t>We believe we can improve the overall cash flow of the business by increasing utilization of the existing fleet as well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monetizing non-cash assets. We have unutilized units—we will review these assets to determine where relatively low-cost capital expenditures can improve the marketability and cash flow potential of the units. We also have a significant amount of capital tied up in non-cash assets (including inventory and other fixed assets, primarily real property) that we believe can be monetized and invested back in the fleet at or above target levels of return on invested capital.</w:t>
      </w:r>
    </w:p>
    <w:p>
      <w:pPr>
        <w:spacing w:after="0" w:line="17"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Expand rental fleet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intend to prudently increase the size of our rental fleet mainly through pre-contracted agreements with our customers.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believe our future growth in this part of our strategy will be primarily driven through our placement of larger horsepower, centralized wellhead natural gas compressors for unconventional oil production, with select increases in medium horsepower units to meet customer demand beyond our inventory.</w:t>
      </w:r>
    </w:p>
    <w:p>
      <w:pPr>
        <w:spacing w:after="0" w:line="14"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Execute accretive mergers and acquisitions. </w:t>
      </w:r>
      <w:r>
        <w:rPr>
          <w:rFonts w:ascii="Times New Roman" w:cs="Times New Roman" w:eastAsia="Times New Roman" w:hAnsi="Times New Roman"/>
          <w:sz w:val="18"/>
          <w:szCs w:val="18"/>
          <w:color w:val="auto"/>
        </w:rPr>
        <w:t>We believe there are opportunities in mergers and acquisitions. While there is no certainty as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probability of any particular deal, we will continue to evaluate potential acquisitions, joint ventures and other opportunities that could enhance value for our shareholders.</w:t>
      </w:r>
    </w:p>
    <w:p>
      <w:pPr>
        <w:spacing w:after="0" w:line="1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above strategies are subject to revisions and adjustments as a result of several factors discussed in </w:t>
      </w:r>
      <w:r>
        <w:rPr>
          <w:rFonts w:ascii="Times New Roman" w:cs="Times New Roman" w:eastAsia="Times New Roman" w:hAnsi="Times New Roman"/>
          <w:sz w:val="18"/>
          <w:szCs w:val="18"/>
          <w:u w:val="single" w:color="auto"/>
          <w:color w:val="0000FF"/>
        </w:rPr>
        <w:t>Item 1A.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our competitive strengths include:</w:t>
      </w:r>
    </w:p>
    <w:p>
      <w:pPr>
        <w:spacing w:after="0" w:line="113" w:lineRule="exact"/>
        <w:rPr>
          <w:sz w:val="20"/>
          <w:szCs w:val="20"/>
          <w:color w:val="auto"/>
        </w:rPr>
      </w:pPr>
    </w:p>
    <w:p>
      <w:pPr>
        <w:jc w:val="both"/>
        <w:ind w:left="660" w:hanging="328"/>
        <w:spacing w:after="0" w:line="25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Strong operational performance. </w:t>
      </w:r>
      <w:r>
        <w:rPr>
          <w:rFonts w:ascii="Times New Roman" w:cs="Times New Roman" w:eastAsia="Times New Roman" w:hAnsi="Times New Roman"/>
          <w:sz w:val="18"/>
          <w:szCs w:val="18"/>
          <w:color w:val="auto"/>
        </w:rPr>
        <w:t>We deliver very high levels of mechanical availability to our customers. Mechanical availability is defined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percentage of time that our units are capable of operating as designed and is a measure of reliability. The cost of rental compression is an appreciable operating expense for a producer and the improved productivity delivers material incremental profitability to customers. This creates significant value for our customers and we believe our high levels of mechanical availability, particularly for our large horsepower rental compression units, is a competitive differentiator for customers selecting our units.</w:t>
      </w:r>
    </w:p>
    <w:p>
      <w:pPr>
        <w:spacing w:after="0" w:line="17"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Innovative rental compression units. </w:t>
      </w:r>
      <w:r>
        <w:rPr>
          <w:rFonts w:ascii="Times New Roman" w:cs="Times New Roman" w:eastAsia="Times New Roman" w:hAnsi="Times New Roman"/>
          <w:sz w:val="18"/>
          <w:szCs w:val="18"/>
          <w:color w:val="auto"/>
        </w:rPr>
        <w:t>We have made a series of technical innovations to our rental compression units that have improved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operational performance while also reducing the environmental impact, largely related to the volume of fugitive emissions. Environmental considerations have increased in importance for our customers, particularly with recent environmental regulations and taxation, most notably the Methane Emissions Reduction Program. We use “eComp” technology with existing equipment to reduce emissions through vent capture and electronic valving. Our use of proprietary System Management and Recovery Technology (“SMART”) on our compressor units reduces unplanned shutdowns and increases productivity and our new equipment includes telemetry software to meet customer demands for operational data to analyze and streamline production. We believe the superior operating and environmental performance of our natural gas engine and electric-drive units, particularly our large horsepower units, is a significant competitive differentiator.</w:t>
      </w:r>
    </w:p>
    <w:p>
      <w:pPr>
        <w:spacing w:after="0" w:line="22"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Long-standing customer relationships. </w:t>
      </w:r>
      <w:r>
        <w:rPr>
          <w:rFonts w:ascii="Times New Roman" w:cs="Times New Roman" w:eastAsia="Times New Roman" w:hAnsi="Times New Roman"/>
          <w:sz w:val="18"/>
          <w:szCs w:val="18"/>
          <w:color w:val="auto"/>
        </w:rPr>
        <w:t>We have developed long-standing relationships providing compression equipment to many major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independent oil and gas companies. Our customers generally continue to rent our compressors after the expiration of the initial terms of our rental agreements, which we believe reflects their satisfaction with the reliability and performance of our services and products.</w:t>
      </w:r>
    </w:p>
    <w:p>
      <w:pPr>
        <w:spacing w:after="0" w:line="8"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High level of customer service. </w:t>
      </w:r>
      <w:r>
        <w:rPr>
          <w:rFonts w:ascii="Times New Roman" w:cs="Times New Roman" w:eastAsia="Times New Roman" w:hAnsi="Times New Roman"/>
          <w:sz w:val="18"/>
          <w:szCs w:val="18"/>
          <w:color w:val="auto"/>
        </w:rPr>
        <w:t>Our ability to provide a broad range of compressors has enabled us to effectively meet the evolving needs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We believe this ability, coupled with our personalized services and in-depth knowledge of our customers’ operating needs and growth plans, have allowed us to enhance our relationships with existing customers as well as attract new customers. The size, type and geographic diversity of our rental fleet enable us to provide customers with a range of compression units that can serve a wide variety of applications. We are able to select the correct equipment for the job, rather than the customer trying to fit its application to our equipment.</w:t>
      </w:r>
    </w:p>
    <w:p>
      <w:pPr>
        <w:spacing w:after="0" w:line="17"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7" w:lineRule="auto"/>
        <w:tabs>
          <w:tab w:leader="none" w:pos="655" w:val="left"/>
        </w:tabs>
        <w:numPr>
          <w:ilvl w:val="0"/>
          <w:numId w:val="5"/>
        </w:numPr>
        <w:rPr>
          <w:rFonts w:ascii="Arial" w:cs="Arial" w:eastAsia="Arial" w:hAnsi="Arial"/>
          <w:sz w:val="18"/>
          <w:szCs w:val="18"/>
          <w:color w:val="auto"/>
        </w:rPr>
      </w:pPr>
      <w:r>
        <w:rPr>
          <w:rFonts w:ascii="Times New Roman" w:cs="Times New Roman" w:eastAsia="Times New Roman" w:hAnsi="Times New Roman"/>
          <w:sz w:val="18"/>
          <w:szCs w:val="18"/>
          <w:b w:val="1"/>
          <w:bCs w:val="1"/>
          <w:i w:val="1"/>
          <w:iCs w:val="1"/>
          <w:color w:val="auto"/>
        </w:rPr>
        <w:t xml:space="preserve">Availability of new units. </w:t>
      </w:r>
      <w:r>
        <w:rPr>
          <w:rFonts w:ascii="Times New Roman" w:cs="Times New Roman" w:eastAsia="Times New Roman" w:hAnsi="Times New Roman"/>
          <w:sz w:val="18"/>
          <w:szCs w:val="18"/>
          <w:color w:val="auto"/>
        </w:rPr>
        <w:t>The rental compression industry has undergone significant change over the last several years. Capital constraints,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form of reduced debt availability, higher interest rates, and shareholder demands for return of capital, have forced capital discipline upon the industry. These factors, along with supply chain challenges, led to a dearth of available rental compression units at a time of solid customer demand. Our strong balance sheet allowed us to strategically gain market share with desirable customers renting large horsepower units on pre-contracted basis. We believe our relatively modest leverage remains a strategic advantage for us to continue to gain market share on attractive terms for shareholder return.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 and Outlook</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oil and gas industry has historically been cyclical and production levels of oil and gas are dependent upon numerous factors. The market for compression equipment and services is highly dependent on the production levels of E&amp;P companies and pricing of oil and gas.</w:t>
      </w:r>
    </w:p>
    <w:p>
      <w:pPr>
        <w:spacing w:after="0" w:line="5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Crude Oil</w:t>
      </w:r>
      <w:r>
        <w:rPr>
          <w:rFonts w:ascii="Times New Roman" w:cs="Times New Roman" w:eastAsia="Times New Roman" w:hAnsi="Times New Roman"/>
          <w:sz w:val="18"/>
          <w:szCs w:val="18"/>
          <w:color w:val="auto"/>
        </w:rPr>
        <w:t>. The level of production for crude oil and capital expenditures activity has generally been dependent upon the prevailing view of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crude oil prices, which are influenced by numerous supply and demand factors, including availability and cost of capital, well productivity and development costs, global and domestic economic conditions, environmental regulations, policies of OPEC and Russia, and other factors. While crude oil prices have historically been volatile, we expect demand for our existing compressor fleet to remain positive assuming crude oil prices remain within reasonable bands with respect to current pricing levels.</w:t>
      </w:r>
    </w:p>
    <w:p>
      <w:pPr>
        <w:spacing w:after="0" w:line="75"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Natural Gas</w:t>
      </w:r>
      <w:r>
        <w:rPr>
          <w:rFonts w:ascii="Times New Roman" w:cs="Times New Roman" w:eastAsia="Times New Roman" w:hAnsi="Times New Roman"/>
          <w:sz w:val="18"/>
          <w:szCs w:val="18"/>
          <w:color w:val="auto"/>
        </w:rPr>
        <w:t>. We believe the market outlook for natural gas production in the U.S. remains steady while short term price volatility remains a factor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geopolitical influences and shifts in LNG exports. We believe opportunities for increased utilization of our small and medium horsepower units are supported by continued investment in shale gas development, particularly in the Permian basin and the Utica and Marcellus Shales.</w:t>
      </w:r>
    </w:p>
    <w:p>
      <w:pPr>
        <w:spacing w:after="0" w:line="6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will continue to evaluate our business and operating strategy and we will continue to remain prudent in both our allocation of capital and our capital structure. Nevertheless, if any of these circumstances change significantly, our business could be adversely affected. Please read </w:t>
      </w:r>
      <w:r>
        <w:rPr>
          <w:rFonts w:ascii="Times New Roman" w:cs="Times New Roman" w:eastAsia="Times New Roman" w:hAnsi="Times New Roman"/>
          <w:sz w:val="18"/>
          <w:szCs w:val="18"/>
          <w:u w:val="single" w:color="auto"/>
          <w:color w:val="0000FF"/>
        </w:rPr>
        <w:t>Item 1A.,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Factors,”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December 31, 2025, we had approximately 60 customers for our compressor rental fleet. Our customer base includes oil and gas E&amp;P and operating companies of various sizes ranging from domestic affiliates of certain of the internationally-recognized majors to domestic and regional operators. During the years ended December 31, 2025, 2024 and 2023 our revenues from Occidental Permian, LTD. (“Oxy”) and Devon Energy Corporation (“Devon”) amounted to 59 percent, 59 percent and 52 percent of our revenue on a combined basis, respectively. No other single customer accounted for more than 10 percent of our revenues during 2025, 2024 or 2023. Oxy and Devon amounted to 62 percent of our accounts receivable as of December 31, 2025, and 60 percent of our accounts receivable as of December 31, 2024. No other customers amounted to more than 10 percent of our accounts receivable as of December 31, 2025 or 2024. The loss of these key customers would have a material adverse effect on our business, results of operations, financial condition and cash flows, depending upon the demand for our compressors at the time of such loss and our ability to attract new customers.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sales force pursues the rental and sales market for compressors and other services in their respective territories. Additionally, our personnel coordinate with each other to develop relationships with customers who operate in multiple regions. Our sales and marketing strategy is focused on communication with current customers and potential customers through frequent direct contact, technical assistance, print literature, direct mail and referrals. Our sales and marketing personnel coordinate with our operations personnel in order to promptly respond to and address customer needs. Our overall sales and marketing efforts concentrate on demonstrating our commitment to enhancing our customers’ cash flows through superior customer service and support, installation, operations assembly and enhanced product design.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compression services business is highly competitive. We have several competitors in the compression industry, some of which have greater financial resources. We believe that we compete effectively on the basis of compression unit availability, customer service, flexibility in meeting customer needs, and quality and reliability of our compressors and related services as well as price.</w:t>
      </w:r>
    </w:p>
    <w:p>
      <w:pPr>
        <w:spacing w:after="0" w:line="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Compressor industry participants can achieve significant advantages through increased size and geographic breadth. As the number of rental compressors in our rental fleet increases, the number of sales, support, and maintenance personnel required and the minimum level of inventory may not increase proportionately.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Liability and Other Insurance Coverage</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equipment and services are provided to customers who are subject to hazards inherent in the oil and gas industry, such as explosions, fires, and oil spills. We maintain liability insurance that we believe is customary in the industry and which includes environmental cleanup but excludes product warranty insurance because the majority of components on our compressor unit are covered by the OEM manufacturers and our outsourced fabrication service providers. We also maintain insurance with respect to our facilities. Based on our historical experience, we believe that our insurance coverage is adequate. However, there is a risk that our insurance may not be sufficient to cover any particular loss or that insurance may not cover all losses. In addition, insurance rates have in the past been subject to wide fluctuation, and changes in coverage could result in less coverage, increases in cost or higher deductibles and retentions.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the success of our business depends more on the technical competence, creativity and marketing abilities of our employees than on any individual patent, trademark, or copyright. Nevertheless, as part of our ongoing research, design and development activities, we may seek patents when appropriate on inventions concerning new products, processes and product improvements. We maintain confidentiality and proprietary information agreements with our executive officers and certain key, senior employees.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 and Raw Materials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Preparing our rental compressors for service involves the purchase by us of engines, compressors, coolers, frames and other components, and the assembly, primarily by third-party service providers, of these OEM components on skids for delivery to customer locations. These major components of our compressor units are acquired through periodic purchase orders placed with third-party suppliers on an “as needed” basis, which typically requires a three to twelve month lead time with delivery dates scheduled to coincide with our estimated assembly schedules. Although we do not have formal continuing supply and service contracts with any major supplier or third-party assembly service provider, we believe we have adequate alternative sources available. In the past, we have not experienced any sudden and dramatic increases in the prices of the major components for our compressors. However, the occurrence of such an event could have a material adverse effect on our results of operations, financial condition and cash flows, particularly if we are unable to increase our rental rates and sale prices proportionate to any such component price increases.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operations and facilities are subject to numerous federal, state, foreign and local laws, rules and regulations related to various aspects of our business, including containment and disposal of hazardous materials, water quality and wastewater discharges, oilfield waste and other waste materials and protection of human health.</w:t>
      </w:r>
    </w:p>
    <w:p>
      <w:pPr>
        <w:spacing w:after="0" w:line="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date, we have not been required to expend significant resources in order to satisfy applicable environmental laws and regulations. We do not anticipate any material capital expenditures for environmental control facilities or extraordinary expenditures to comply with environmental rules and regulations in the foreseeable future. However, compliance costs under existing laws or under any new requirements could become material and we could incur liabilities for noncompliance. And as noted below, we may be indirectly affected by environmental laws that affect our customers.</w:t>
      </w:r>
    </w:p>
    <w:p>
      <w:pPr>
        <w:spacing w:after="0" w:line="1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is generally affected by political developments and by federal, state, foreign and local laws and regulations, which relate to the oil and gas industry. The adoption of laws and regulations affecting the oil and gas industry for economic, environmental and other policy reasons could increase our costs and could have an adverse effect on the demand for our services and our operations. The state and federal environmental laws and regulations that currently apply to our operations could become more stringent in the future.</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Climate Change</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response to findings that emissions of carbon dioxide, methane and other Greenhouse Gases (“GHGs”) endanger public health and the environment, federal legislation has been considered from time to time to reduce GHG emissions. Methane, a primary component of natural gas, and carbon dioxide, a byproduct of the burning of natural gas, are examples of GHGs. At the federal level, the government could seek to pursue legislative, regulatory or executive initiatives that may impose significant restrictions on fossil-fuel exploration and production and use such as limitations or bans on hydraulic fracturing of oil and gas wells, bans or restrictions on new leases for production of minerals on federal properties, and imposing restrictive requirements on new pipeline infrastructure or fossil-fuel export facilities.</w:t>
      </w:r>
    </w:p>
    <w:p>
      <w:pPr>
        <w:spacing w:after="0" w:line="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Inflation Reduction Act of 2022 (the “IRA 2022”) imposed a methane emissions charge on certain oil and gas facilities, including onshore petroleum and natural gas production facilities, which emit 25,000 metric tons or more of carbon dioxide equivalent gas per year and exceed certain emissions thresholds. We do not operate any facilities that are subject to this emissions charge. On July 4, 2025, President Trump signed the One Big Beautiful Bill Act (the “OBBBA”) into law which, among other things, postpones the EPA’s imposition of the recent methane waste emissions charge to 2034. In May 2024, the U.S. Environmental Protection Agency (“EPA”) finalized revisions to the Greenhouse Gas Reporting Program for petroleum and natural gas systems. Among other things, the final rule (the “Subpart W Revisions Rule”) expands the emissions events that are subject to reporting requirements to include “other large release events” and applies reporting requirements to certain new sources and sectors. The emissions reported under the Greenhouse Gas Reporting Program will be the basis for any payments under the Methane Emissions and Waste Reduction Incentive Program in the IRA 2022, and the Subpart W Revisions Rule may result in an increase in reported methane and other GHG emissions under Subpart W for many operators. The Subpart W Revisions Rule took effect in January 2025. However, in September 2025, the EPA proposed to permanently remove program obligations from the Greenhouse Gas Reporting Program for most source categories and suspend program obligations for some sources subject to Subpart W until 2034.</w:t>
      </w:r>
    </w:p>
    <w:p>
      <w:pPr>
        <w:spacing w:after="0" w:line="2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it is not currently possible to predict how any proposed or future GHG legislation, regulation, agreements or initiatives will impact our business, any such legislation or regulation of GHG emissions could result in increased compliance or operating costs, additional operating restrictions or reduced demand for our compressor services, and could have a material adverse effect on our business, financial condition and results of operations.</w:t>
      </w:r>
    </w:p>
    <w:p>
      <w:pPr>
        <w:spacing w:after="0" w:line="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Other energy legislation and initiatives could include a carbon tax, methane fee or cap and trade program. At the state level, many states, including the states in which we or our customers conduct operations, have adopted legal requirements that have imposed new or more stringent permitting, disclosure or well construction requirements on oil and gas activities. For instance, various states and groups of states have adopted or are considering adopting legislation, regulations or other regulatory initiatives that are focused on such areas as GHG cap and trade programs, carbon taxes, reporting and tracking programs, and restriction of emissions. For example, in January 2024, the Colorado Energy and Carbon Management Commission (formerly the Colorado Oil and Gas Conservation Commission) adopted final rules that apply increased scrutiny to the cumulative impacts of GHG emissions of oil and gas development and set GHG emissions intensity targets for oil and gas operators. Likewise, the New Mexico Environment Department has adopted regulations to restrict the venting or flaring of methane.</w:t>
      </w:r>
    </w:p>
    <w:p>
      <w:pPr>
        <w:spacing w:after="0" w:line="3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the international level, there is an agreement, the United Nations-sponsored “Paris Agreement,” for nations to limit their GHG emissions through non-binding, individually determined reduction goals every five years after 2020. In November 2021, the United States participated in the United Nations Climate Change Conference in Glasgow, Scotland, United Kingdom that resulted in a pact among approximately 200 countries, including the United States, called the Glasgow Climate Pact. Relatedly, the United States and European Union jointly announced the launch of the “Global Methane Pledge,” which aims to cut global methane pollution at least 30% by 2030 relative to 2020 levels, including “all feasible reductions” in the energy sector. In conjunction with these pacts, the United States committed to an economy-wide target of reducing net greenhouse gas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 w:name="page10"/>
    <w:bookmarkEnd w:id="9"/>
    <w:p>
      <w:pPr>
        <w:jc w:val="both"/>
        <w:spacing w:after="0" w:line="255" w:lineRule="auto"/>
        <w:rPr>
          <w:sz w:val="20"/>
          <w:szCs w:val="20"/>
          <w:color w:val="auto"/>
        </w:rPr>
      </w:pPr>
      <w:r>
        <w:rPr>
          <w:rFonts w:ascii="Times New Roman" w:cs="Times New Roman" w:eastAsia="Times New Roman" w:hAnsi="Times New Roman"/>
          <w:sz w:val="18"/>
          <w:szCs w:val="18"/>
          <w:color w:val="auto"/>
        </w:rPr>
        <w:t>emissions by 50-52 percent below 2005 levels by 2030. On January 20, 2025, the current administration issued an Executive Order directing the immediate notice to the United Nations of the United States’ withdrawal from the Paris Agreement and all other agreements made under the United Nations Framework Convention on Climate Change. Additionally, on January 7, 2026, the current administration announced the formal withdrawal of the United States from the United Nations Framework Convention on Climate Change in a presidential memorandum. However, various state and local governments in the U.S. have publicly committed to furthering the goals of the Paris Agreement and many of these efforts at the local, state and international levels are expected to continue. Any future laws and regulations imposing reporting obligations on, or limiting emissions of GHGs from, our compressors could require us to incur costs to reduce emissions associated with our operations.</w:t>
      </w:r>
    </w:p>
    <w:p>
      <w:pPr>
        <w:spacing w:after="0" w:line="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Litigation risks are also increasing, as a number of cities and other local governments have sought to bring suits against the largest E&amp;P companies in state or federal court, alleging, among other things, that such companies created public nuisances by producing fuels that contributed to global warming effects, such as rising sea levels, and therefore are responsible for roadway and infrastructure damages, or alleging that the companies have been aware of the adverse effects of climate change for some time but defrauded their investors by failing to adequately disclose those impacts.</w:t>
      </w:r>
    </w:p>
    <w:p>
      <w:pPr>
        <w:spacing w:after="0" w:line="1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are also increasing financial risks for fossil fuel producers and oil and gas field service providers (such as us) as shareholders currently invested in fossil-fuel energy and related service companies concerned about the potential effects of climate change may elect in the future to shift some or all of their investments into non-energy related sectors. Institutional lenders who provide financing to fossil-fuel energy and related companies also have become more attentive to sustainable lending practices and some of them may elect not to provide funding for fossil fuel energy companies. Additionally, the lending practices of institutional lenders have been the subject of intensive lobbying efforts in recent years, oftentimes public in nature, by environmental activists, proponents of the international Paris Agreement, and foreign citizenry concerned about climate change not to provide funding for fossil fuel producers. Limitation of investments in and financings for fossil fuel energy companies could result in the restriction, delay or cancellation of drilling programs or development or production activities of our customers, which in turn could have a material adverse effect on our business.</w:t>
      </w:r>
    </w:p>
    <w:p>
      <w:pPr>
        <w:spacing w:after="0" w:line="30"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The adoption and implementation of new or more stringent international, federal or state legislation, regulations or other regulatory initiatives that impose more stringent standards for GHG emissions from the oil and gas sector or otherwise restrict the areas in which this sector may produce oil and gas or generate GHG emissions could result in increased costs of compliance or additional operating restrictions or reduced demand for our compressor products and services, and could have a material adverse effect on our business, financial condition, results of operations and cash flows. Further, the current administration signed an executive order declaring a national energy emergency in the hopes of reducing regulatory costs in the oil and gas industry.</w:t>
      </w:r>
    </w:p>
    <w:p>
      <w:pPr>
        <w:spacing w:after="0" w:line="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our existing environmental control procedures are adequate and that we are in substantial compliance with environmental laws and regulations, and the phasing in of emission controls and other known regulatory requirements should not have a material adverse effect on our financial condition, results of operations and cash flows; however, it is possible that future developments, such as new or increasingly strict requirements and environmental laws and enforcement policies thereunder, could lead to material costs of environmental compliance by us. While we may be able to pass on the additional cost of complying with such laws to our customers; however, there can be no assurance that attempts to do so will be successful. Some risk of environmental liability and other costs are inherent in the nature of our business; however, and there can be no assurance that environmental costs will not rise.</w:t>
      </w:r>
    </w:p>
    <w:p>
      <w:pPr>
        <w:spacing w:after="0" w:line="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extent that new laws or other governmental actions restrict the energy industry or impose additional environmental protection requirements that result in increased costs to the oil and gas industry, we could be adversely affected. The current administration has signaled its interest in rescinding or nullifying regulations which financially adversely impact the oil and gas industry, although the extent of any such changes is unclear at this time. We cannot determine to what extent our future operations and earnings may be affected by new legislation, new regulations or changes in existing regulations.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Site Remediation and Waste Management and Disposal</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Comprehensive Environmental Response, Compensation and Liability Act of 1980 (“CERCLA”), also known as the Superfund law, and analogous state laws impose liability on certain classes of persons, known as potentially responsible parties (“PRPs”) for the disposal or release of a regulated hazardous substance into the environment. These PRPs include (1) the current owners and operators of a facility, (2) the past owners and operators of a facility at the time the disposal or release of a hazardous substance occurred, (3) parties that arranged for the offsite disposal or treatment of a hazardous substance, and (4) transporters of hazardous substances to off-site disposal or treatment facilities. PRPs under CERCLA may be subject to strict, joint and several liability for the costs of investigating and cleaning up environmental contamination, for damages to natural resources and for the costs of certain health studies. In addition to statutory liability under CERCLA, common law claims for personal injury or property damage can also be brought by neighboring landowners and other third parties related to contaminated sites.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Resource Conservation and Recovery Act (“RCRA”), and comparable state statutes and their implementing regulations, regulate the generation, transportation, treatment, storage, disposal, and cleanup of hazardous and solid (non-hazardous) wastes. Under a delegation of authority from the EPA, most states administer some or all of the provisions of RCRA, sometimes in conjunction with their own, more stringent requirements. Federal and state regulatory agencies can seek to impose administrative, civil, and criminal penalties for alleged non-compliance with RCRA and analogous state requirements. In general, hazardous waste is waste with properties that can potentially endanger human health or the environment.</w:t>
      </w:r>
    </w:p>
    <w:p>
      <w:pPr>
        <w:spacing w:after="0" w:line="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CERCLA, RCRA and analogous state laws, we could be required to remove or remediate environmental impacts on properties we currently own and lease or formerly owned or leased (including hazardous substances or wastes disposed of or released by prior owners or operators), to clean up contaminated off-site disposal facilities where our wastes have come to be located or to implement remedial measures to prevent or mitigate future contamination. Compliance with these laws may constitute a significant cost and effort for us. No specific accounting for environmental compliance has been maintained or projected by us at this time. We are not presently aware of any material environmental demands, claims, or adverse actions, litigation or administrative proceedings in which either we or our acquired properties are involved in or subject to or arising out of any predecessor operations.</w:t>
      </w:r>
    </w:p>
    <w:p>
      <w:pPr>
        <w:spacing w:after="0" w:line="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currently own or lease, and in the past have owned or leased, a number of properties that have been used in support of our operations for a number of years. We have utilized operating and disposal practices that were or are currently standard in the industry. However, materials such as solvents, thinner, waste paint, waste oil, wash down water and sandblast material may have been disposed of or released in or under properties currently or formerly owned or operated by us or our predecessors. Although we have utilized operating and disposal practices that were standard in the industry at the time, hydrocarbons, hazardous substances, or other regulated wastes may have been disposed of or released on or under the properties owned or leased by us or on or under other locations where such materials have been taken for disposal by companies sub-contracted by us. In addition, some of these properties may have been previously owned or operated by third parties whose treatment and disposal or release of hydrocarbons, hazardous substances or other regulated wastes was not under our control. These properties and the materials released or disposed thereon may be subject to CERCLA, RCRA and analogous state laws. Under such laws, we could be required to remove or remediate historical property contamination, or to perform certain operations to prevent future contamination. We are not currently under any order requiring that we undertake or pay for any cleanup activities; however, we cannot provide any assurance that we will not receive any such order in the future.</w:t>
      </w:r>
    </w:p>
    <w:p>
      <w:pPr>
        <w:spacing w:after="0" w:line="3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CERCLA and analogous state laws, we could be required to remove or remediate environmental impacts on properties we currently own and lease or formerly owned or leased (including hazardous substances or wastes disposed of or released by prior owners or operators), to clean up contaminated off-site disposal facilities where our wastes have come to be located or to implement remedial measures to prevent or mitigate future contamination. Compliance with these laws may constitute a significant cost and effort for us. No specific accounting for environmental compliance has been maintained or projected by us at this time. We are not presently aware of any material environmental demands, claims, or adverse actions, litigation or administrative proceedings in which either we or our acquired properties are involved in or subject to or arising out of any predecessor.</w:t>
      </w:r>
    </w:p>
    <w:p>
      <w:pPr>
        <w:spacing w:after="0" w:line="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Furthermore, the modification of existing laws or regulations or the adoption of new laws or regulations that result in the curtailment of exploratory or developmental drilling for oil and gas could materially and adversely affect our operations by discouraging our customers from drilling for hydrocarbons, disrupting revenue through permitting or similar delays. Demand for our compression products and services could be diminished in connection with these initiatives. Further, to the extent that the review results in the development of additional restrictions on exploration and drilling, limitations on the availability of leases, or restrictions on the ability to obtain required permits, it could have a material adverse impact on our operations by reducing our customers’ compression needs and the demand for our services.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Air Emissions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federal Clean Air Act (“CAA”) and implementing regulations and comparable state laws and regulations regulate emissions of air pollutants from various industrial sources and also impose various monitoring and reporting requirements, including requirements related to emissions from certain stationary engines, such as those on our compressor units. These laws and regulations impose limits on the levels of various substances that may be emitted into the atmosphere from our compressor units and required us to meet more stringent air emission standards and install new emission control equipment on all of our engines built after July 1,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recent years, the EPA has lowered the National Ambient Air Quality Standard (“NAAQS”) for several air pollutants. For example, in 2013, the EPA lowered the annual standard for fine particulate matter from 15 to 12 micrograms per cubic meter. In 2015, the EPA published the final rule strengthening the standards for ground level ozone, and the states are expected to establish revised attainment/non-attainment regions. State implementation of the revised NAAQS could result in stricter permitting requirements, delay or prohibit our customers’ ability to obtain such permits, and result in increased expenditures for pollution control equipment, which could negatively impact our customers’ operations by increasing the cost of additions to equipment, and negatively impact our business.</w:t>
      </w:r>
    </w:p>
    <w:p>
      <w:pPr>
        <w:spacing w:after="0" w:line="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2012, the EPA finalized rules that establish new air emission controls for oil and gas production and natural gas processing operations. Specifically, the EPA’s rule package included New Source Performance Standards (“NSPS”) to address emissions of sulfur dioxide and volatile organic compounds (“VOCs”) and a separate set of emission standards to address hazardous air pollutants frequently associated with oil and gas production and processing activities. The rules established specific new requirements regarding emissions from compressors and controls at natural gas processing plants, dehydrators, storage tanks and other production equipment as well as the first federal air standards for natural gas wells that are hydraulically fractured. The EPA has taken a number of steps to amend or expand on these regulations since 2012. For example, in June 2016, the EPA published NSPS that require certain new, modified or reconstructed facilities in the oil and gas sector to reduce methane gas and VOC emissions. These standards expanded the 2012 standards by using certain equipment-specific emissions control practices, requiring additional controls for pneumatic controllers and pumps as well as compressors, and imposing leak detection and repair requirements for natural gas compressor and booster stations. The OBBBA which, among other things, postpones the EPA’s imposition of the recent methane waste emissions charge to 2034, lowers royalties on federal onshore oil and gas leases, and repeals a royalty imposed on waste methane produced from federal oil and gas leases. On July 29, 2025, the EPA issued an interim final rule extending several compliance deadlines associated with the 2024 New Source Performance Standards (“NSPS OOOOb”) and Emissions Guidelines (“EG OOOOc”) for the oil and gas industry. NSPS OOOOb and EG OOOOc were published in March 2024 and took effect in May 2024. The EPA announced its intention to reconsider NSPS OOOOb and EG OOOOc in March 2025. On July 29, 2025, the EPA released a pre-publication proposed rule which would rescind the EPA’s 2009 final rule under the CAA finding that GHGs endanger the public health and welfare of current and future generations and that emissions of GHGs from new motor vehicles contribute to GHG pollution that threatens the public health and welfare. On September 16, 2025, the EPA announced a proposal to end the Greenhouse Gas Reporting Program for all sectors except petroleum and natural gas systems (excluding reporting for natural gas distribution). Reporting for petroleum and natural gas systems under the Greenhouse Gas Reporting Program would be deferred until 2034 under the proposal. As a result, there remains considerable uncertainty surrounding regulation of GHG and methane emissions from oil and gas operations.</w:t>
      </w:r>
    </w:p>
    <w:p>
      <w:pPr>
        <w:spacing w:after="0" w:line="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also subject to air regulation at the state level. For example, sources of air emissions within Texas are controlled by the Texas Commission on Environmental Quality (“TCEQ”). Air emission sources that emit at greater than de minimis levels must obtain a permit prior to operation through the TCEQ. In addition, TCEQ has implemented revisions to certain air permit programs that significantly increase the air permitting requirements for new and certain existing oil and gas production and gathering sites for a number of counties in the Barnett Shale production area that established new emissions standards for engines, which impact the operation of specific categories of engines by requiring the use of alternative engines, compressor packages or the installation of aftermarket emissions control equipment. Expansion by the TCEQ of this type of program and the adoption of similar regulations in other states may increase our compliance costs.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Water Discharge</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Clean Water Act</w:t>
      </w:r>
      <w:r>
        <w:rPr>
          <w:rFonts w:ascii="Times New Roman" w:cs="Times New Roman" w:eastAsia="Times New Roman" w:hAnsi="Times New Roman"/>
          <w:sz w:val="18"/>
          <w:szCs w:val="18"/>
          <w:color w:val="auto"/>
        </w:rPr>
        <w:t>. The Clean Water Act (“CWA”) and the Oil Pollution Act of 1990 and implementing regulations govern:</w:t>
      </w:r>
    </w:p>
    <w:p>
      <w:pPr>
        <w:spacing w:after="0" w:line="6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prevention of discharges, including oil and produced water spills,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drainage into waters.</w:t>
      </w:r>
    </w:p>
    <w:p>
      <w:pPr>
        <w:spacing w:after="0" w:line="4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CWA and analogous state laws impose restrictions and strict controls with respect to the discharge of pollutants, including spills and leaks of oil and other substances, into waters of the United States. The discharge of pollutants into regulated waters and wetlands is prohibited, except in accordance with the terms of a permit issued by the EPA or an analogous state agency. The CWA also requires the development and implementation of spill prevention, control and countermeasures to help prevent the contamination of navigable waters in the event of a petroleum hydrocarbon spill or leak at hydrocarbon facilities. In addition, the CWA and analogous state laws require individual permits or coverage under general permits for discharges of storm water runoff from certain types of facilities. Federal and state regulatory agencies can impose administrative, civil and criminal penalties as well as other enforcement mechanisms for non-compliance with discharge permits or other requirements of the CWA and analogous state laws and regulations. Our compression operations do not generate process wastewaters that are discharged to waters of the U.S. However, the operations of our customers may generate such wastewaters subject to the CWA. While it is the responsibility of our customers to follow CWA regulations and obtain proper permits, violations of the CWA may indirectly impact our operations in a negative manner.</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Safe Drinking Water Act</w:t>
      </w:r>
      <w:r>
        <w:rPr>
          <w:rFonts w:ascii="Times New Roman" w:cs="Times New Roman" w:eastAsia="Times New Roman" w:hAnsi="Times New Roman"/>
          <w:sz w:val="18"/>
          <w:szCs w:val="18"/>
          <w:color w:val="auto"/>
        </w:rPr>
        <w:t>. Some of our customers’ natural gas production is developed from unconventional sources that require hydraulic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fracturing as part of the completion process. Legislation to amend the Safe Drinking Water Act (“SDWA”) to repeal the exemption for hydraulic fracturing from the definition of “underground injection” and require federal permitting and regulatory control of hydraulic fracturing, as well as legislative proposals to require disclosure of the chemical constituents of the fluids used in the fracturing process, have been proposed from time to time and the federal government continues to consider legislation to amend the SDWA. Some states have also proposed or adopted legislative or regulatory restrictions on hydraulic fracturing, including prohibitions on the practice. We cannot predict the future of such legislation and what additional, if any, provisions would be included. Additional levels of regulation or interpretation are adopted at the federal or state level could lead to increased operating costs and prohibitions or curtailment of current hydraulic practices could reduce demand for our compression services, which could materially adversely affect our financial position, results of operations and cash flows.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Occupational Safety and Health</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the requirements of Occupational Safety and Health Administration (“OSHA”) and comparable state statutes. These laws and the implementing regulations strictly govern the protection of the health and safety of employees. The OSHA hazard communication standard, the EPA community right-to-know regulations under Title III of CERCLA, and similar state statutes require that we maintain and/or disclose information about hazardous materials used or produced in our operations. We believe that we are in compliance with these applicable requirements and with other comparable laws.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we had 259 total employees, none of which were represented by a labor union. A total of 63 corporate and operations employees were based at our Midland, Texas and Southlake, Texas administrative and executive office locations while the remaining 196 employees were deployed to our operating facilities throughout our operating regions in five states. We believe that we have good relations with our employees.</w:t>
      </w:r>
    </w:p>
    <w:p>
      <w:pPr>
        <w:spacing w:after="0" w:line="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into our company. We offer competitive and comprehensive compensation and benefits including: (i) a 401(k) plan with employer matching contributions, (ii) medical, dental and vision care insurance benefits, (iii) health savings and flexible spending accounts and (iv) paid time off, among others. We also provide cash and equity incentive plans in order to attract, retain and reward our employees through the granting of cash-based and stock-based compensation awards, in order to increase stockholder value and the success of our company by motivating such individuals to perform to the best of their abilities and achieve well-defined short- and long-term business goals. The Compensation Committee of our Board of Directors is responsible for designing and administering executive compensation programs for our executive officers.</w:t>
      </w:r>
    </w:p>
    <w:p>
      <w:pPr>
        <w:spacing w:after="0" w:line="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committed to providing a work environment that is free of discrimination and harassment. We are an equal-opportunity employer. We make employment decisions on the basis of an individual’s qualifications and our business needs. As new employees join us, they learn more about our policies and culture through orientation and onboarding, our Employee Handbook, Code of Ethics and Business Conduct, and compliance trainings.</w:t>
      </w:r>
    </w:p>
    <w:p>
      <w:pPr>
        <w:spacing w:after="0" w:line="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committed to maintaining a healthy, safe and secure work environment that protects our employees, contractors, business partners, customers and visitors to our facilities. We comply with applicable health, safety, and environmental laws as well as our internal policies and procedures. Safety is a core value to us and safety performance is a key metric that is included in the incentive compensation of certain employees, including our executive officers. We actively promote high standards of safety behavior and environmental awareness and strive to meet or exceed all applicable local, state and federal regulations.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use our website as a channel of distribution for Company information. We make available free of charge on the Investor Relations section of our website (</w:t>
      </w:r>
      <w:r>
        <w:rPr>
          <w:rFonts w:ascii="Times New Roman" w:cs="Times New Roman" w:eastAsia="Times New Roman" w:hAnsi="Times New Roman"/>
          <w:sz w:val="18"/>
          <w:szCs w:val="18"/>
          <w:u w:val="single" w:color="auto"/>
          <w:color w:val="auto"/>
        </w:rPr>
        <w:t>www.ngsgi.com</w:t>
      </w:r>
      <w:r>
        <w:rPr>
          <w:rFonts w:ascii="Times New Roman" w:cs="Times New Roman" w:eastAsia="Times New Roman" w:hAnsi="Times New Roman"/>
          <w:sz w:val="18"/>
          <w:szCs w:val="18"/>
          <w:color w:val="auto"/>
        </w:rPr>
        <w:t>) our Annual Reports on Form 10-K, Quarterly Reports on Form 10-Q, and Current Reports on Form 8-K. We also make available through our website other reports filed with or furnished to the Securities and Exchange Commission (“SEC”) under the Exchange Act including our proxy statements and reports filed by officers and directors under Section 16(a) of the Exchange Act, as well as our Code of Ethics and Business Conduct and the charters to our various Committees of our Board of Directors. Paper copies of our filings are also available, without charge upon written request. Please mail requests to Natural Gas Services Group, Inc., 601 State Street, Suite 400, Southlake, TX 79701. The information contained on our website is not part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3" w:name="page14"/>
    <w:bookmarkEnd w:id="1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following risks associated with owning our common stock. Although the risks described below are the risks that we believe are material, they are not the only risks relating to our industry, our business and our common stock. Additional risks and uncertainties, including those that we have not yet identified or that we currently believe are immaterial, may also adversely affect our business, results of operations, financial condition and cash flows.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Decreased oil and gas prices and oil and gas industry expenditure levels adversely affect our revenue.</w:t>
      </w:r>
    </w:p>
    <w:p>
      <w:pPr>
        <w:spacing w:after="0" w:line="6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revenue is derived primarily from expenditures in the oil and gas industry, which, in turn, are based on budgets to explore for, develop and produce oil and gas. When these expenditures decline, as they have at various times during the past several years, our revenue will suffer. The industry’s willingness to explore for, develop and produce oil and gas depends largely upon the prevailing view of future oil and gas prices. Prices for oil and gas historically have been, and are likely to continue to be, highly volatile. Many factors affect the supply and demand for oil and gas and, therefore, influence oil and gas prices, including:</w:t>
      </w:r>
    </w:p>
    <w:p>
      <w:pPr>
        <w:spacing w:after="0" w:line="2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oil and gas production;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oil and gas inventories;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worldwide demand for oil and gas;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cost of developing new reserves;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producing oil and gas;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drilling and completions activity;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inclement weather;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worldwide economic activity;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other federal and state requirements in the U.S.;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OPEC, Russia, national oil companies and other large producers to set and maintain production levels and prices for crude oil;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conditions in or affecting oil and gas producing countries;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activities affecting traditional supply routes and other possible terrorist activities in the U.S. and elsewhere;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developing alternative energy sources;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policies.</w:t>
      </w:r>
    </w:p>
    <w:p>
      <w:pPr>
        <w:spacing w:after="0" w:line="6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rental contracts of many of our compressor units have a short-term duration, and oil and gas companies tend to respond quickly to upward or downward changes in prices. Any prolonged reduction in drilling and production activities has historically eroded both rental pricing and utilization rates for our compression equipment and services and adversely affected our financial results. As a result of any such prolonged reductions, we may suffer losses, be unable to make necessary capital expenditures or be unable to meet our financial obligations.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intense competition in our industry could result in reduced profitability and loss of market share for us.</w:t>
      </w:r>
    </w:p>
    <w:p>
      <w:pPr>
        <w:spacing w:after="0" w:line="6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compete with the oil and gas industry’s largest equipment and service providers who have greater name recognition than we do. These companies also have substantially greater financial resources, larger operations and greater budgets for marketing, research and development than we do. They may be better able to compete because of their broader geographic dispersion and ability to take advantage of international opportunities, the greater number of compressors in their fleet, their product and service diversity or a lower cost of capital. As a result, we could lose customers and market share to those competitors. These companies may also be better positioned than us to successfully endure downturns in the oil and gas industry.</w:t>
      </w:r>
    </w:p>
    <w:p>
      <w:pPr>
        <w:spacing w:after="0" w:line="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operations may be adversely affected if our current competitors or new market entrants introduce new products or services with better prices, features, performance or other competitive characteristics than our products and services. Competitive pressures or other factors also may result in significant price competition that could harm our revenue and our business. In addition, our customers may purchase and operate their own compression fleets in lieu of renting compressors and using our compression services. Additionally, we may face competition in our efforts to acquire other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macroeconomic and business conditions may significantly and negatively affect our results of operations.</w:t>
      </w:r>
    </w:p>
    <w:p>
      <w:pPr>
        <w:spacing w:after="0" w:line="6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result of the COVID-19 outbreak and other economic conditions in the United States and abroad, our revenue and profitability were adversely affected in the ensuing years. Although the effects of the outbreak have generally abated, pandemics or other public health crises could significantly impact public health, economic growth, supply chains and markets. The extent to which our operations and financial results and condition may be affected by future pandemics or other public health crises will depend on various factors and consequences beyond our control, such as the duration and scope of such pandemic or public health crisis, the actions by governments and the private sector in response to the pandemic and the recovery speed and effectiveness of responses to combat any such pandemic or public health crisis. Thus, any future pandemic or public health crisis may materially adversely affect our operating and financial results in a manner that is not currently known to us and may be material and pose significant risks to our operations.</w:t>
      </w:r>
    </w:p>
    <w:p>
      <w:pPr>
        <w:spacing w:after="0" w:line="24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condition of domestic and global financial markets and the potential for disruption and illiquidity in the credit markets could have an adverse effect on our operating results and financial condition, and if sustained for an extended period, such adverse effects could also become significant. Uncertainty and turmoil in the credit markets may negatively impact the ability of our customers to finance utilization of our products and services and could result in a decrease in, or cancellation of, contracts or adversely affect the collectability of our receivables. If the availability of credit to our customers is reduced, they may reduce their drilling and production expenditures, thereby decreasing demand for our products and services, which could have a negative impact on our financial condition. A prolonged period of depressed prices for oil and gas would likely result in delays or cancellation of projects by our customers, reducing the demand for our products and services.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elevated levels of inflation could have an adverse impact on our operating results.</w:t>
      </w:r>
    </w:p>
    <w:p>
      <w:pPr>
        <w:spacing w:after="0" w:line="6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U.S. economy has experienced elevated levels of inflation since early 2022. While such levels of inflation have moderated somewhat, inflation pressure continues and uncertainty remains regarding expectations of inflation into the future. Should inflationary pressures continue or increase, the result will be an increase in our cost structure, including labor costs, parts costs, lubricants and other items used in our operations. If such cost increases occur, we may be unable to pass along such increases to our customers in the form of higher rental rates for our compressor units. Increases in inflation could also increase the costs of new compressor units, making them less attractive and decreasing the demand from our customers for such assets. In addition, inflation may adversely affect customers’ financing costs, cash flows, and profitability, which could adversely impact their operations and our ability to collect receivables. Should any of these items occur, they could negatively impact our results of operations, financial condition and cash flows.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reduction in demand for oil could adversely affect our business.</w:t>
      </w:r>
    </w:p>
    <w:p>
      <w:pPr>
        <w:spacing w:after="0" w:line="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results of operations depend upon the level of activity in the energy market, including oil development, production, and transportation. Oil and gas prices and the level of drilling and exploration activity can be volatile. As a result, the demand for our natural gas compression services can be adversely affected. A reduction in demand has, and could in the future continue to, force us to reduce our pricing substantially. Additionally, our customers’ production from oil-weighted reserves constitutes a substantial portion of our business. These are considered unconventional sources and are generally less economically feasible to be developed in low crude oil price environments. A decline in demand for oil and gas generally has an adverse effect on our business, results of operations, financial condition and cash flows.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industry is highly cyclical, and our results of operations may be volatile.</w:t>
      </w:r>
    </w:p>
    <w:p>
      <w:pPr>
        <w:spacing w:after="0" w:line="6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industry is highly cyclical, with periods of high demand and high pricing followed by periods of low demand and low pricing. Periods of low demand intensify the competition in the industry and often result in rental equipment being idle for long periods of time. At times, we have been required to enter into lower rate rental contracts in response to market conditions and our revenues have decreased as a result of such conditions. Due to the short-term nature of most of our rental contracts, changes in market conditions can quickly affect our business. As a result of the cyclicality of our industry, we anticipate our results of operations will be volatile in the future.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regulation or ban of current fracturing techniques could reduce demand for our compressors.</w:t>
      </w:r>
    </w:p>
    <w:p>
      <w:pPr>
        <w:spacing w:after="0" w:line="6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From time to time, for example, legislation has been proposed in Congress to amend the federal SDWA to require federal permitting of hydraulic fracturing and the disclosure of chemicals used in the hydraulic fracturing process. Further, the EPA completed a study finding that hydraulic fracturing could potentially harm drinking water resources under adverse circumstances such as injection directly into groundwater or into production wells lacking mechanical integrity. Further, legislation to amend the SDWA to repeal the exemption for hydraulic fracturing (except when diesel fuels are used) from the definition of “underground injection” and require federal permitting and regulatory control of hydraulic fracturing, as well as legislative proposals to require disclosure of the chemical constituents of the fluids used in the fracturing process, have been proposed in recent sessions of Congress. Several states and local jurisdictions also have adopted or are considering adopting regulations that could restrict or prohibit hydraulic fracturing in certain circumstances, impose more stringent operating standards and/or require the disclosure of the composition of hydraulic fracturing fluids. While we do not perform hydraulic fracturing, many of our customers do and their activity level drives demand for our products.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More recently, federal and state governments have begun investigating whether the disposal of produced water into underground injection wells has caused increased seismic activity in certain areas. The results of these studies could lead federal and state governments and agencies to develop and implement additional regulations.</w:t>
      </w:r>
    </w:p>
    <w:p>
      <w:pPr>
        <w:spacing w:after="0" w:line="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ban of hydraulic fracturing would likely halt some projects, including unconventional projects, at least temporarily. Expanded regulations are likely to introduce a period of uncertainty as companies determine ways to proceed. Any curtailment could result in a reduction in demand for our compressors, potentially affecting both rentals and sales of our units.</w:t>
      </w:r>
    </w:p>
    <w:p>
      <w:pPr>
        <w:spacing w:after="0" w:line="6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environmental laws and regulations that could require us to take costly compliance actions that could harm our financial condition.</w:t>
      </w: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assembly and maintenance operations are significantly affected by stringent and complex federal, state and local laws and regulations governing the discharge of substances into the environment or otherwise relating to environmental protection. In these operations, we generate and manage hazardous wastes such as solvents, thinner, waste paint, waste oil, wash down wastes, and sandblast material. We attempt to use generally accepted operating and disposal practices and, with respect to acquisitions, will attempt to identify and assess whether there is any environmental risk before completing an acquisition. Based on the nature of the industry, however, hydrocarbons or other wastes may have been disposed of or released on or under properties owned or leased by us or on or under other locations where such wastes have been taken for disposal. The waste on these properties may be subject to federal or state environmental laws that could require us to remove the waste or remediate sites where they have been released. We could be exposed to liability for cleanup costs, natural resource and other damages as a result of our conduct or the conduct of, or conditions caused by, prior owners, lessees or other third parties. Environmental laws and regulations have changed in the past, and they are likely to change in the future. If current existing regulatory requirements or enforcement policies change, we may be required to make significant unanticipated capital and operating expenditures.</w:t>
      </w:r>
    </w:p>
    <w:p>
      <w:pPr>
        <w:spacing w:after="0" w:line="32"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Any failure by us to comply with applicable environmental laws and regulations may result in governmental authorities taking actions against our business that could harm our operations and financial condition, including the:</w:t>
      </w:r>
    </w:p>
    <w:p>
      <w:pPr>
        <w:spacing w:after="0" w:line="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administrative, civil and criminal penalties;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denial or revocation of permits or other authorizations;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or cessation in operations;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site investigatory, remedial or other corrective actions.</w:t>
      </w:r>
    </w:p>
    <w:p>
      <w:pPr>
        <w:spacing w:after="0" w:line="11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Increasing attention to environmental, social and governance matters and future related reporting requirements may impact our business, financial results and stock price.</w:t>
      </w: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recent years, increasing attention has been given to corporate activities related to environmental, social and governance (“ESG”) matters in public discourse and the investment community. A number of advocacy groups, both domestically and internationally, have campaigned for governmental and private action to promote change at public companies related to ESG matters, including through the investment and voting practices of investment advisers, public pension funds, universities and other members of the investing community. These activities include increasing attention and demands for action related to climate change and energy transition matters, such as promoting the use of substitutes to fossil fuel products and encouraging the divestment of fossil fuel equities, as well as pressuring lenders and other financial services companies to limit or curtail activities with fossil fuel companies.</w:t>
      </w:r>
    </w:p>
    <w:p>
      <w:pPr>
        <w:spacing w:after="0" w:line="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Members of the investment community have begun to screen companies for sustainability performance, including practices related to climate change. In addition, organizations that provide information to investors on corporate governance and related matters have developed ratings systems for evaluating companies on their approach to ESG matters. These ratings are used by some investors to inform their investment and voting decisions. Unfavorable ESG ratings may lead to increased negative investor sentiment toward us and our industry and to the diversion of investment to other industries, which could have a negative impact on our stock price and our access to and costs of capital.</w:t>
      </w:r>
    </w:p>
    <w:p>
      <w:pPr>
        <w:spacing w:after="0" w:line="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Regulatory requirements related to ESG or sustainability reporting have been issued in the European Union that apply to financial market participants. In the United States, such regulations have been issued related to pension investments in California, and for the responsible investment of public funds in Illinois. Additional regulation is pending in other states. We expect regulatory requirements related to ESG matters to continue to expand globally. If we are not able to meet future sustainability reporting requirements of regulators or current and future expectations of investors, customers or other stakeholders, our business and ability to raise capital may be adversely affected.</w:t>
      </w:r>
    </w:p>
    <w:p>
      <w:pPr>
        <w:spacing w:after="0" w:line="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Increasing attention to climate change, increasing societal expectations on companies to address climate change, and potential consumer use of substitutes to energy commodities may result in increased costs, reduced demand for our customers’ hydrocarbon products which will likely translate to reduced demand for compression services, reduced profits, increased investigations and litigation, increased governmental regulations and negative impacts on our stock price and access to capital markets.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Federal and state governments and agencies continue to evaluate and promulgate legislation and regulations that are focused on restricting GHG emissions. Compliance with climate action regulations applicable to our customers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operations may have significant implications that could adversely affect our business and operating results in the fossil fuel sectors, and boosting demand for technologies contributing to the climate action agenda.</w:t>
      </w:r>
    </w:p>
    <w:p>
      <w:pPr>
        <w:spacing w:after="0" w:line="1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United States, the EPA has taken steps to regulate GHG emissions as air pollutants under the CAA. The EPA’s Greenhouse Gas Reporting Rule requires monitoring and reporting of GHG emissions from, among others, certain mobile and stationary GHG emission sources in the oil and gas industry. In addition, the U.S. government has proposed rules in the past setting GHG emissions standards for, or otherwise aimed at reducing GHG emissions from, the oil and gas industry. Caps or fees on carbon emissions, including in the U.S., have been and may continue to be established and the cost of such caps or fees could disproportionately affect the fossil fuel sectors. We are unable to predict whether and when the proposed changes in laws or regulations ultimately will occur or what they ultimately will require, and accordingly, we are unable to assess the potential financial or operational impact they may have on our customers and therefore our business.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Company</w:t>
      </w:r>
    </w:p>
    <w:p>
      <w:pPr>
        <w:spacing w:after="0" w:line="1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Approximately one half of our compressor unit rental agreements, representing approximately one quarter of our rented horsepower, are month-to-month in duration, which, if terminated or not renewed, would adversely impact our revenue and our ability to recover our initial equipment costs.</w:t>
      </w: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length of our compressor rental agreements with our customers varies based on customer needs, equipment configurations and geographic area. In certain cases, under currently prevailing rental rates, the initial rental periods are not long enough to enable us to fully recoup the average cost of acquiring or assembling the equipment. On a unit basis, of the 1,245 compressors rented at December 31, 2025, 491 were rented on a month-to-month basis. On a horsepower basis, of the 562,676 total rented horsepower, we had 98,539 of that total rented on a month-to-month basis, with the remainder on contracts expiring between 2026 and 2030. We have limited ability to increase prices during our initial contract terms. As a result, we are unable to pass unexpected increases in the prices of the equipment, materials and services we utilize to provide contract operations services, as a result of inflation of otherwise, onto our customers, which could result in a negative impact on our results of operations, financial condition and cash flows. Given the volatility of the oil and gas market, we cannot be certain that a substantial number of our customers will continue their rental agreements or that, if such agreements were terminated we will be able to re-rent the equipment to new customers or that any re-rentals would be at comparable rental rates. The inability to timely renegotiate or re-rent a substantial portion of our compressor rental fleet could have a material adverse effect upon our business, financial condition, results of operations and cash flows.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particular suppliers and are vulnerable to product shortages and price increases.</w:t>
      </w:r>
    </w:p>
    <w:p>
      <w:pPr>
        <w:spacing w:after="0" w:line="6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recent years, we have transitioned from in-house assembly of compressors, and we now purchase the majority of our compressors from third-party assemblers and suppliers. If we are unable to purchase compression equipment or other integral equipment, materials and services from third party suppliers, we may be unable to retain existing customers or compete for new customers, which could have a material adverse effect on our business, results of operations, financial condition and cash flows. Our reliance on these suppliers involves several risks, including price increases (as a result of inflation or otherwise), quality issues and a potential inability to obtain an adequate supply of such equipment, materials and services in a timely manner. Additionally, we may experience long lead times from our suppliers of compression equipment, which may negatively impact our ability to deliver compressors to our customers in a timely manner. If we are unable to meet the demands of our customers, our existing customers may terminate their contractual relationships with us or curtail future orders, or we may not be able to compete for business from new customers, which, in either case, could have a material adverse effect on our business, results of operations, financial condition and cash flows. Further, supply chain issues could adversely affect our ability to obtain necessary materials, parts or lubricants used in our operations or increase the costs of such items. A significant increase in the price of such equipment, materials and services as a result of inflation, or other factors, could have a negative impact on our business, results of operations, financial condition and cash flows.</w:t>
      </w:r>
    </w:p>
    <w:p>
      <w:pPr>
        <w:spacing w:after="0" w:line="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operations entail inherent risks and we could be subject to substantial liability claims that could harm our financial condition. Our insurance coverage may not insure against all potential losses and we could be materially harmed by unexpected losses and liabilities.</w:t>
      </w: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Our compressors are used in production applications where an accident or a failure of a product can cause personal injury, loss of life, damage to property, equipment or the environment, or suspension of operations. While we maintain insurance coverage, we face the following risks:</w:t>
      </w:r>
    </w:p>
    <w:p>
      <w:pPr>
        <w:spacing w:after="0" w:line="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continue to obtain insurance on commercially reasonable terms;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faced with types of liabilities that will not be covered by our insurance, such as damages from significant product liabilities and from environmental contamination;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 of any liabilities may exceed our policy limits;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maintain coverage against the risk of interruption of our business.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7" w:name="page18"/>
    <w:bookmarkEnd w:id="1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claims made under our policies will likely cause our premiums to increase. Any future damages caused by our products or services that are not covered by insurance, are in excess of policy limits or are subject to substantial deductibles, would reduce our earnings and our cash available for operations.</w:t>
      </w:r>
    </w:p>
    <w:p>
      <w:pPr>
        <w:spacing w:after="0" w:line="6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 significant amount of our revenues and accounts receivable are related to two customers and a loss of these customers or other current customers could adversely affect our results of operations.</w:t>
      </w: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is dependent not only on securing new customers but also on maintaining current customers. We had two customers that accounted for an aggregate of approximately 59 percent of our revenue for each of the years ended December 31, 2025 and 2024. As of December 31, 2025, these same customers accounted for an aggregate of 62 percent of our accounts receivable. Unless we are able to retain our existing customers, or secure new customers if we lose one or more of our significant customers, our revenue and results of operations would be adversely affected. In addition, the default on payments by our significant customer or other important customers would negatively impact our cash flows and current assets.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of key members of our management could adversely affect our business.</w:t>
      </w:r>
    </w:p>
    <w:p>
      <w:pPr>
        <w:spacing w:after="0" w:line="6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success depends on our ability to attract, retain and motivate a highly-skilled management team and workforce. Failure to ensure that we have the depth and breadth of management and personnel with the necessary skill sets and experience could impede our ability to achieve growth objectives and execute our operational strategy. As we continue to expand, we will need to promote or hire additional staff, and, as a result of increased compensation and benefit packages in our industry, as well as inflationary pressures, it may be difficult to attract or retain such individuals without incurring significant additional costs.</w:t>
      </w:r>
    </w:p>
    <w:p>
      <w:pPr>
        <w:spacing w:after="0" w:line="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keeping with our streamlined approach to our business, our executive management team consists of two executive officers: our (i) Chief Executive Officer and (ii) Chief Financial Officer. In addition, we employ three vice presidents on our management team to lead and direct (i) operations,</w:t>
      </w:r>
    </w:p>
    <w:p>
      <w:pPr>
        <w:jc w:val="both"/>
        <w:ind w:firstLine="8"/>
        <w:spacing w:after="0" w:line="255" w:lineRule="auto"/>
        <w:tabs>
          <w:tab w:leader="none" w:pos="2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services and (iii) safety and maintenance, respectively. While we do have employment agreements with our two executive officers, the loss of any of our executive officers or other key employees could have an adverse impact on our business. We do not carry any key-person insurance on any of our officers or directors.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erosion of the financial condition of our customers could adversely affect our business.</w:t>
      </w:r>
    </w:p>
    <w:p>
      <w:pPr>
        <w:spacing w:after="0" w:line="6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Many of our customers finance their exploration and development activities through cash flows from operating activities, the incurrence of debt or the issuance of equity. During times when the oil and gas markets are weak, our customers are more likely to experience a deterioration in their financial condition. Many of our customers’ equity values and liquidity substantially decline during declines in oil and gas prices, and in some cases access to capital markets may be an unreliable source of financing for some customers. The combination of a reduction in cash flow resulting from declines in commodity prices, an increase in the interest rates charged for debt financing, a reduction in borrowing bases under reserve-based credit facilities and the lack of availability of debt or equity financing may result in a reduction in our customers’ spending for our products and services. For example, our customers could seek to preserve capital by canceling month-to-month contracts, canceling or delaying scheduled maintenance of their existing natural gas compression equipment or determining not to enter into any new natural gas compression service contracts or purchase new compression equipment.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be unable to employ qualified technical personnel, which could hamper our present operations or increase our costs.</w:t>
      </w:r>
    </w:p>
    <w:p>
      <w:pPr>
        <w:spacing w:after="0" w:line="6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Many of the compressors that we rent are mechanically complex and often must perform in harsh conditions. We believe that our success depends upon our ability to employ and retain a sufficient number of technical personnel who have the ability to design, utilize, enhance and maintain these compressors. Our ability to maintain and expand our operations depends in part on our ability to utilize and increase our skilled labor force. The demand for skilled workers is high, and supply is limited. A significant increase in the wages paid by competing employers could result in a reduction of our skilled labor force or cause an increase in the wage rates that we must pay or both. If either of these events were to occur, our cost structure could increase and our operations and growth potential could be impaired.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 substantial amount of capital to expand our compressor rental fleet and grow our business.</w:t>
      </w:r>
    </w:p>
    <w:p>
      <w:pPr>
        <w:spacing w:after="0" w:line="6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 Credit Facility, with a total commitment of $400.0 million. We also have a right to request from the lender, an increase to the potential aggregate commitment of up to $100.0 million; provided, however, the aggregate commitment amount is not permitted to exceed $500.0 million. As of December 31, 2025, our borrowing base under the Credit Facility was approximately $400.0 million, with $230.0 million of borrowings outstanding leaving approximately $170.0 million available for future borrowing.</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2026, the amount we will spend on capital expenditures related to compression equipment will be determined primarily by the activity of our customers, our financial resources and access to capital. The amount and timing of any capital expenditures may vary depending on a variety of factors, including the level of activity in the oil and gas exploration and production industry and the presence of alternative uses for our capital, including any acquisitions that we may pursue. In addition, although a significant portion of the value of a new compressor increases our borrowing base under our Credit Facility once it has been fully constructed and put into service, we generally have an approximate lag of nine to 12 months between borrowing money under the Credit Facility to fund progress payments to build a compressor unit and the time it becomes eligible for inclusion in our borrowing base. This lag can reduce the amount of future borrowings available for working capital purposes and new compressor unit acquisition until the unit is placed into service.</w:t>
      </w:r>
    </w:p>
    <w:p>
      <w:pPr>
        <w:spacing w:after="0" w:line="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past year, we funded our capital expenditures through cash flows from operating activities and borrowings under the Credit Facility. Although we believe that cash on hand, cash flows from operating activities and borrowing under our Credit Facility will provide us with sufficient cash to fund our planned capital expenditures for 2026, we cannot provide assurance that these sources will be sufficient considering the factors and limitations noted above.</w:t>
      </w:r>
    </w:p>
    <w:p>
      <w:pPr>
        <w:spacing w:after="0" w:line="1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expanding our existing business through organic growth opportunities, we may require additional capital to fund any significant unanticipated capital expenditures, such as a material acquisition. To the extent we would require any necessary capital, due to the existing constraints noted above and any issues or limitations in the equity and debt capital markets, such capital, may not be available to us when we need it or on acceptable terms. Our ability to raise additional capital will depend on the results of our operations and the status of various capital and industry markets at the time we seek such capital. Failure to generate sufficient cash flows from operating activities, together with the absence of alternative sources of capital, could stagnate our growth and have a material adverse effect on our business, financial condition, results of operations or cash flows.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debt levels may negatively impact our current and future financial stability.</w:t>
      </w:r>
    </w:p>
    <w:p>
      <w:pPr>
        <w:spacing w:after="0" w:line="6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2025, we increased the borrowing commitment of the Credit Facility from $300 million to $400 million and we have the right to request an increase in the potential commitment by $100 million (subject to borrowing base limitation and customary covenants). As of December 31, 2025, we had $230 million of borrowings outstanding under the Credit Facility and anticipate additional borrowing under the Credit Facility during 2026. Should we utilize our full debt capacity, growth beyond that point could be impacted. As a result of our indebtedness at any given point in time, we might not have the ability to incur any substantial additional indebtedness. The level of our indebtedness could have several important effects on our future operations, including:</w:t>
      </w:r>
    </w:p>
    <w:p>
      <w:pPr>
        <w:spacing w:after="0" w:line="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for working capital, acquisitions, capital expenditures and other purposes may be limited;</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cash flows from operating activities may be dedicated to the payment of principal and interest (which is variable under the Credit Facility) on our debt, thereby reducing funds available for other purposes;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leverage, if increased to an unacceptable level, could make us more vulnerable to economic downturns.</w:t>
      </w:r>
    </w:p>
    <w:p>
      <w:pPr>
        <w:spacing w:after="0" w:line="11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borrow under the Credit Facility and are unable to service our debt, we will likely be forced to take remedial steps that are contrary to our business plan.</w:t>
      </w: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were to materially borrow further under the Credit Facility or other borrowing arrangements, it is possible that our business will not generate sufficient cash from operating activities to meet any debt service requirements and the payment of principal when due depending on the amount of borrowings at any given time. If this were to occur, we may be forced to:</w:t>
      </w:r>
    </w:p>
    <w:p>
      <w:pPr>
        <w:spacing w:after="0" w:line="14"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at disadvantageous prices;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additional financing on less favorable terms; or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refinance all or a portion of our indebtedness on terms that may be less favorable to us.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Credit Facility contains covenants that limit our operating and financial flexibility and, if breached, could expose us to severe remedial provisions.</w:t>
      </w: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terms of our current Credit Facility, we must:</w:t>
      </w:r>
    </w:p>
    <w:p>
      <w:pPr>
        <w:spacing w:after="0" w:line="63"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various leverage, commitment coverage and other customary financial ratios;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exceed specified levels of debt;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limits on asset sales;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limits on cash dividends;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customary financial and operational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ability to meet the financial ratios and tests under the Credit Facility can be affected by events beyond our control, and we may not be able to satisfy those ratios and tests. A breach of any one of these covenants or requirements could permit the lending organization to accelerate outstanding amounts so that it is immediately due and payable. If a breach occurs, no further borrowings would be available under our Credit Facility. If we are unable to repay any outstanding amounts, the lender could proceed against and foreclose on the assets we pledged as collateral to secure payment of our indebtedness.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Credit Facility contains a variable interest rate and increases to such rate may increase our borrowing cost.</w:t>
      </w:r>
    </w:p>
    <w:p>
      <w:pPr>
        <w:spacing w:after="0" w:line="6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interest expense charged on our outstanding borrowings under the Credit Facility is based upon a variable rate which fluctuates as interest rates change. Changes in macroeconomic conditions outside of our control could result in a higher interest rate being charged on our outstanding borrowings and an increase in the overall interest costs charged. This could have an adverse impact on our operations, our free cash flow and our ability to invest in future growth.</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acquire or successfully integrate additional businesses, our growth may be limited and our results of operations may suffer.</w:t>
      </w:r>
    </w:p>
    <w:p>
      <w:pPr>
        <w:spacing w:after="0" w:line="6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we evaluate potential acquisitions of other businesses and assets. However, there can be no assurance that we will be successful in consummating any such acquisitions. The successful acquisition of businesses or assets will depend on various factors, including, but not limited to, our ability to obtain financing and the competitive environment for acquisitions. In addition, we may not be able to successfully integrate any businesses or assets that we acquire in the future. The integration of acquired businesses is likely to be complex and time-consuming, place a significant strain on management and may disrupt our business. We also may be adversely impacted by any unknown liabilities of acquired businesses, including environmental liabilities. We may encounter substantial difficulties, costs and delays involved in integrating common accounting, information and communication systems, operating procedures, internal controls and human resources practices, including incompatibility of business cultures and the loss of key employees and customers. These difficulties may reduce our ability to gain customers or retain existing customers, and may increase operating expenses, resulting in reduced revenues and income and a failure to realize the anticipated benefits of acquisitions.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effectively manage our business and growth could adversely affect our operating results and our internal controls.</w:t>
      </w:r>
    </w:p>
    <w:p>
      <w:pPr>
        <w:spacing w:after="0" w:line="6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2025, we had significant growth in our revenue and operations. Our strategy envisions the continued expansion and growth of our business, subject to the demand for oil and gas and the impact of the other risks set forth in this risk factor section and elsewhere in this Annual Report on Form 10-K. Continued rapid growth will likely challenge and place a strain on our management systems and resources if we are unable to timely adapt and expand such systems and resources. Many of our ongoing reporting functions rely on data capture and recording using manual entry of transaction data. In order to efficiently and effectively manage our planned growth, we will need to continue to analyze and upgrade our use of information technology (“IT”), including our enterprise resource planning and other operating systems and this will likely require future capital investment. We must continue to refine and expand our business capabilities, our workforce, our systems and processes, and our access to financing sources. As we continue to grow, we must continue to hire, train, supervise and manage new employees. We cannot assure that we will be able to:</w:t>
      </w:r>
    </w:p>
    <w:p>
      <w:pPr>
        <w:spacing w:after="0" w:line="30"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our capital needs;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upgrade and expand our office and field management infrastructure so that it is appropriate for our level of activity;</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improve our IT systems effectively or efficiently and in a timely manner, including financial and management controls, reporting systems and procedures; and</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train and retain additional highly skilled and motivated officers, sales staff, district managers and employees and allocate our human resources optimally.</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our growth, our financial conditions and results of operations may be adversely affected.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to customers under warranties and indemnification provisions may materially and adversely affect our results of operations.</w:t>
      </w:r>
    </w:p>
    <w:p>
      <w:pPr>
        <w:spacing w:after="0" w:line="6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provide warranties as to the proper operation and conformance to specifications of the equipment we rent and sell. Our equipment is complex and often deployed in harsh environments. Failure of this equipment to operate properly or to meet specifications may increase our costs by requiring additional engineering resources and services, replacement of parts and equipment or monetary reimbursement to a customer. We have in the past received warranty claims and we expect to continue to receive them in the future. To the extent that we incur substantial warranty claims in any period, our reputation, our ability to obtain future business and our results of operations, financial condition and cash flows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rental and sales agreements provide for varying forms of indemnification from our customers and in most cases may require us to indemnify our customers. Under some of our rental and sales agreements, liability with respect to personnel and property is customarily assigned on a “knock-for-knock” basis, which means that we and our customers assume liability for our respective personnel and property. However, in certain rental and sales agreements we assume liability for damage to our customer’s property as well as the property of certain other third parties on the site resulting from our negligence. Since our products are used in production applications in the energy industry, expenses and liabilities in connection with accidents involving our products and services could be extensive and may exceed our insurance coverage.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to use net operating loss carryforwards to offset future taxable income may be subject to certain limitations.</w:t>
      </w:r>
    </w:p>
    <w:p>
      <w:pPr>
        <w:spacing w:after="0" w:line="6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Our ability to utilize net operating loss (“NOL”) carryforwards to reduce future taxable income is subject to limitations under Sections 382 and 383 of the Internal Revenue Code of 1986, as amended (“IRC”). As disclosed in </w:t>
      </w:r>
      <w:r>
        <w:rPr>
          <w:rFonts w:ascii="Times New Roman" w:cs="Times New Roman" w:eastAsia="Times New Roman" w:hAnsi="Times New Roman"/>
          <w:sz w:val="18"/>
          <w:szCs w:val="18"/>
          <w:u w:val="single" w:color="auto"/>
          <w:color w:val="0000FF"/>
        </w:rPr>
        <w:t>Note 11 (“Income Taxes”)</w:t>
      </w:r>
      <w:r>
        <w:rPr>
          <w:rFonts w:ascii="Times New Roman" w:cs="Times New Roman" w:eastAsia="Times New Roman" w:hAnsi="Times New Roman"/>
          <w:sz w:val="18"/>
          <w:szCs w:val="18"/>
          <w:color w:val="auto"/>
        </w:rPr>
        <w:t xml:space="preserve"> to our Consolidated Financial Statements, we have substantial NOL carryforwards. The utilization of such carryforwards may be limited by the occurrence of certain ownership changes, including the purchase or sale of our common stock by significant shareholders and the offering of our common stock during any three-year period resulting in an aggregate change of more than 50 percent in our beneficial ownership. In the event of an ownership change, Section 382 of the IRC imposes an annual limitation on the amount of our taxable income that can be offset by our NOL carryforwards. Under such circumstances, it is possible that the limitations imposed on our ability to utilize pre-ownership change NOLs could cause a significant increase in our U.S. federal income tax liabilities and could cause U.S. federal income taxes to be paid earlier than they otherwise would be paid if such limitations were not in effect.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maintain effective internal controls could have a material adverse effect on our operations.</w:t>
      </w:r>
    </w:p>
    <w:p>
      <w:pPr>
        <w:spacing w:after="0" w:line="6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404 of the Sarbanes-Oxley Act requires annual management assessments of the effectiveness of our internal control over financial reporting. Effective internal controls are necessary for us to produce reliable financial reports and to help prevent financial fraud. If, as a result of deficiencies in our internal controls, we cannot provide reliable financial reports or prevent fraud, our business decision process may be adversely affected, our business and operating results could be harmed, investors could lose confidence in our reported financial information, and the price of our stock could decrease as a result.</w:t>
      </w:r>
    </w:p>
    <w:p>
      <w:pPr>
        <w:spacing w:after="0" w:line="7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rely on computer and telecommunications systems, and failures in our systems or cyber security attacks or breaches could result in information theft, data corruption, disruption in operations and/or financial loss.</w:t>
      </w: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conduct of our business, we rely heavily on IT systems (“digital technology”), including internet-based systems, to process, transmit and store electronic information. In particular, we depend upon our digital technology for supply chain management, inventory management, payment processing and data storage. Like many companies, we have become increasingly dependent upon digital technology to conduct daily operations. Our business partners, including customers, vendors, service providers and financial institutions, are also dependent upon digital technology.</w:t>
      </w:r>
    </w:p>
    <w:p>
      <w:pPr>
        <w:spacing w:after="0" w:line="1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continually exposed to various cybersecurity risks, including but not limited to, unauthorized access to our systems or data, malware and ransomware attacks, denial-of-service attacks, phishing, theft or loss of intellectual property, and data breaches. These risks could result from malicious actors, employee error, malfeasance, or other operational vulnerabilities. A cybersecurity attack could have a significant adverse impact on our business operations, results of operations, financial condition, cash flows and reputation. Potential consequences include loss of sensitive or proprietary information, disruption of business operations, financial losses from remedial actions, litigation and potential legal liabilities and damage to customer and investor confidence.</w:t>
      </w:r>
    </w:p>
    <w:p>
      <w:pPr>
        <w:spacing w:after="0" w:line="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taken steps to protect against cyber-attacks to minimize the risk of our systems being penetrated and compromised by implementing a comprehensive cybersecurity program, such as risk assessments and penetration testing, deployment of firewalls and intrusion detection systems, deployment of encryption technologies, implementation of access controls and the development of incident response and recovery plans. Additionally, we have employed data backup and storage measures that could allow for recovery of our data. However, we cannot assure that our efforts to prevent such an attack or, that if an attack were to occur, that we would be able to access our data in a timely fashion.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fluctuate.</w:t>
      </w:r>
    </w:p>
    <w:p>
      <w:pPr>
        <w:spacing w:after="0" w:line="6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trading price of our common stock and the price at which we may sell securities in the future are subject to substantial fluctuations in response to various factors, including our ability to successfully accomplish our business strategy, changes in our dividend policy or share repurchase program, the trading volume of our stock, changes in governmental regulations, actual or anticipated variations in our quarterly or annual financial results, our involvement in litigation, general market conditions, the prices of oil and gas, announcements by us and our competitors, our liquidity, our ability to raise additional funds, and other events such as those discussed in the factors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could adversely affect our stock price.</w:t>
      </w:r>
    </w:p>
    <w:p>
      <w:pPr>
        <w:spacing w:after="0" w:line="6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Substantial sales of our common stock in the public market, or the perception by the market that those sales could occur, may lower our stock price or make it difficult for us to raise additional equity capital in the future. According to filings made with the SEC through March 13, 2026, an aggregate of approximately 23 percent of the outstanding shares of our common stock are owned by four institutional investors, each of which owns more than five percent of our outstanding shares as of the date of their respective filings. Potential sales of large amounts of these shares in a short period of time by one or more of these significant investors could have a negative impact on our stock price. In addition, potential sales of our common stock by our directors and officers, who beneficially own approximately three percent of the outstanding shares of our common stock as of March 13, 2026, and because of the negative perception of sales by insiders, could also have a negative impact on our stock price.</w:t>
      </w:r>
    </w:p>
    <w:p>
      <w:pPr>
        <w:spacing w:after="0" w:line="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have a comparatively low number of shares of common stock outstanding and, therefore, our common stock may suffer from limited liquidity and its price will likely be volatile and its value may be adversely affected.</w:t>
      </w: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of our relatively low number of outstanding shares of common stock, the trading price of our common stock will likely be subject to significant price fluctuations and limited liquidity. This may adversely affect the value of your investment. In addition, our common stock price is subject to fluctuations in response to variations in quarterly operating results, changes in management, future announcements concerning us, general trends in the industry and other events or factors such as those described above.</w:t>
      </w:r>
    </w:p>
    <w:p>
      <w:pPr>
        <w:spacing w:after="0" w:line="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declaration of dividends and any repurchases of our common stock are each within the discretion of our Board of Directors based upon a review of relevant considerations, and there is no guarantee that we will pay any dividends on or repurchase shares of our common stock in the future or at levels anticipated by our stockholders.</w:t>
      </w:r>
    </w:p>
    <w:p>
      <w:pPr>
        <w:spacing w:after="0" w:line="1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Dividends, whether fixed or variable, and stock repurchases are authorized and determined by our Board of Directors in its sole discretion and depend upon a number of factors, including the Company’s financial results, cash requirements and future prospects, restrictions in our Credit Facility, as well as such other factors deemed relevant by our Board of Directors. In 2025, our Board of Directors authorized a stock repurchase program of $6 million of our outstanding common stock. However, this stock repurchase program may be suspended from time to time, modified, extended or discontinued by our Board of Directors at any time. Similarly, any dividends, whether fixed or variable, we may declare in the future will be determined by our Board of Directors in its sole discretion. Any elimination of, or downward revision in, our stock repurchase program or dividend policy could have an adverse effect on the market price of our common stock.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issue debt or equity securities, you may lose certain rights and your ownership may be diluted.</w:t>
      </w:r>
    </w:p>
    <w:p>
      <w:pPr>
        <w:spacing w:after="0" w:line="6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raise funds in the future through the issuance of debt or equity securities, the securities issued may have rights and preferences and privileges senior to those of holders of our common stock, and the terms of the securities may impose restrictions on our operations or dilute your ownership in our Company.</w:t>
      </w:r>
    </w:p>
    <w:p>
      <w:pPr>
        <w:spacing w:after="0" w:line="1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currently have on file with the SEC an effective “universal” shelf registration statement on Form S-3, which enables us to sell, from time to time, up to $200 million of our common stock and other securities, including debt securities, covered by the registration statement in one or more public offerings. The shelf registration statement allows us to enter the public markets and consummate sales of the registered securities in rapid fashion and with little or no notice. Issuances of securities under our shelf registration statement may dilute our existing shareholders.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securities analysts downgrade our stock or cease coverage of us, the price of our stock could decline.</w:t>
      </w:r>
    </w:p>
    <w:p>
      <w:pPr>
        <w:spacing w:after="0" w:line="6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We do not control these analysts. Furthermore, there are many large, well-established, publicly traded companies active in our industry and market, which may mean that it is less likely that we will receive widespread analyst coverage. If one or more of the analysts who do cover us downgrade our stock, our stock price would likely decline rapidly. If one or more of these analysts cease coverage, we could lose visibility in the market, which in turn could cause our stock price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contained in our governing documents could hinder a change in control.</w:t>
      </w:r>
    </w:p>
    <w:p>
      <w:pPr>
        <w:spacing w:after="0" w:line="67"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8"/>
          <w:szCs w:val="18"/>
          <w:color w:val="auto"/>
        </w:rPr>
        <w:t>Our articles of incorporation and bylaws contain provisions that may discourage acquisition bids and may limit the price investors are willing to pay for our common stock. Our articles of incorporation and bylaws provide that:</w:t>
      </w:r>
    </w:p>
    <w:p>
      <w:pPr>
        <w:spacing w:after="0" w:line="1"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are elected for three-year terms, with approximately one-third of the board of directors standing for election each year;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voting is not allowed, which limits the ability of minority shareholders to elect any directors;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for nominations of directors by shareholders and for shareholders to include matters to be considered at our annual meeting;</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unanimous vote of the board of directors or the affirmative vote of the holders of not less than 80% of the votes entitled to be cast by the holders of all shares entitled to vote in the election of directors is required to change the size of the board of directors;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may be removed only for cause or by the holders of not less than 80% of the votes entitled to be cast on the matter.</w:t>
      </w:r>
    </w:p>
    <w:p>
      <w:pPr>
        <w:spacing w:after="0" w:line="6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Board of Directors has the authority to issue up to five million shares of preferred stock. The Board of Directors can fix the terms of the preferred stock without any action on the part of our shareholders. The issuance of shares of preferred stock may delay or prevent a change in control transaction. In addition, preferred stock could be used in connection with the Board of Directors’ adoption of a shareholders’ rights plan (also known as a poison pill), which would make it much more difficult to effect a change in control of our Company through acquiring or controlling blocks of stock. Also, our directors and officers as a group will continue to beneficially own stock and although this is not a majority of our stock, it confers substantial voting power in the election of directors and management of our Company. This would make it difficult for other minority shareholders to effect a change in control or otherwise extend any significant control over our management. This may adversely affect the market price and interfere with the voting and other rights of our common stock.</w:t>
      </w:r>
    </w:p>
    <w:p>
      <w:pPr>
        <w:spacing w:after="0" w:line="13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 w:name="page24"/>
    <w:bookmarkEnd w:id="23"/>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Technology and Cybersecurity Risks.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Our IT systems and digital technology has been an important part of our operations and our ability to compete successfully. We rely on IT systems, cloud-based enterprise resource planning (“ERP”) platforms and mobile applications to support our operations, including financial systems and field service tools in support of compression services. We continue to invest in technology solutions to improve inefficient systems, to streamline and automate workflows and to provide digital and mobile applications for our field service personnel. We are committed to maintaining robust cybersecurity measures, continuously evaluating and updating our cybersecurity practices, and being prepared to respond to and recover from cybersecurity incidents. Similar to other companies in the energy services industry, we are exposed to cybersecurity risks, including unauthorized access, phishing attempts, malware, ransomware and other incidents that could disrupt our operations. There can be no assurance that our efforts will prevent or mitigate all cybersecurity events, which, if realized, could have a material impact on our operations and financial results. See </w:t>
      </w:r>
      <w:r>
        <w:rPr>
          <w:rFonts w:ascii="Times New Roman" w:cs="Times New Roman" w:eastAsia="Times New Roman" w:hAnsi="Times New Roman"/>
          <w:sz w:val="18"/>
          <w:szCs w:val="18"/>
          <w:u w:val="single" w:color="auto"/>
          <w:color w:val="0000FF"/>
        </w:rPr>
        <w:t>Part I, Item 1A “Risk Factors”</w:t>
      </w:r>
      <w:r>
        <w:rPr>
          <w:rFonts w:ascii="Times New Roman" w:cs="Times New Roman" w:eastAsia="Times New Roman" w:hAnsi="Times New Roman"/>
          <w:sz w:val="18"/>
          <w:szCs w:val="18"/>
          <w:color w:val="auto"/>
        </w:rPr>
        <w:t xml:space="preserve"> of this Report for additional information.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Incidents</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not experienced any material cybersecurity incidents nor have we identified risks from known threats that could likely materially impact our operations or financial results.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of Cybersecurity Risk</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manage these risks, we maintain a cybersecurity program designed to help identify, assess and respond to cybersecurity threats. The program includes monitoring of information systems, access controls, endpoint protection, vulnerability management and specific incident procedures as described below. We utilize artificial intelligence-driven cybersecurity technologies to monitor and detect potential threats across our systems. These tools include email security and threat detection capabilities designed to identify phishing and other malicious email activity. In addition, we have mobile device management controls for company-issued mobile devices. We also maintain policies and procedures intended to address cybersecurity risks associated with third-party service providers and vendors that support our operations. These processes include evaluating security practices when onboarding certain vendors and monitoring technology environments used by the Company. Furthermore, our employees participate in mandatory cybersecurity awareness and training activities intended to reduce risks associated with phishing and other forms of social engineering.</w:t>
      </w:r>
    </w:p>
    <w:p>
      <w:pPr>
        <w:spacing w:after="0" w:line="30"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8"/>
          <w:szCs w:val="18"/>
          <w:color w:val="auto"/>
        </w:rPr>
        <w:t>As referenced above, we also maintain a Cybersecurity Incident Response Plan (“Incident Response Plan”) which outlines how we identify, manage and respond to cybersecurity risks and incidents. The Incident Response Plan contains the following elements:</w:t>
      </w:r>
    </w:p>
    <w:p>
      <w:pPr>
        <w:spacing w:after="0" w:line="1" w:lineRule="exact"/>
        <w:rPr>
          <w:sz w:val="20"/>
          <w:szCs w:val="20"/>
          <w:color w:val="auto"/>
        </w:rPr>
      </w:pPr>
    </w:p>
    <w:p>
      <w:pPr>
        <w:ind w:left="660" w:hanging="328"/>
        <w:spacing w:after="0" w:line="26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Incident Identification and Reporting – </w:t>
      </w:r>
      <w:r>
        <w:rPr>
          <w:rFonts w:ascii="Times New Roman" w:cs="Times New Roman" w:eastAsia="Times New Roman" w:hAnsi="Times New Roman"/>
          <w:sz w:val="18"/>
          <w:szCs w:val="18"/>
          <w:color w:val="auto"/>
        </w:rPr>
        <w:t>outlines the steps used to promptly identify cybersecurity risks and incidents and report those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 means;</w:t>
      </w: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Incident Assessment – </w:t>
      </w:r>
      <w:r>
        <w:rPr>
          <w:rFonts w:ascii="Times New Roman" w:cs="Times New Roman" w:eastAsia="Times New Roman" w:hAnsi="Times New Roman"/>
          <w:sz w:val="18"/>
          <w:szCs w:val="18"/>
          <w:color w:val="auto"/>
        </w:rPr>
        <w:t>after collecting information about a potential risk, threat or incident, a protocol has been developed and outlined that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 a cross-functional team to complete an assessment;</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Incident Containment – </w:t>
      </w:r>
      <w:r>
        <w:rPr>
          <w:rFonts w:ascii="Times New Roman" w:cs="Times New Roman" w:eastAsia="Times New Roman" w:hAnsi="Times New Roman"/>
          <w:sz w:val="18"/>
          <w:szCs w:val="18"/>
          <w:color w:val="auto"/>
        </w:rPr>
        <w:t>provides for actions to be taken to isolate and attempt to contain and minimize any potential threat;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Resolution and Recovery </w:t>
      </w:r>
      <w:r>
        <w:rPr>
          <w:rFonts w:ascii="Times New Roman" w:cs="Times New Roman" w:eastAsia="Times New Roman" w:hAnsi="Times New Roman"/>
          <w:sz w:val="18"/>
          <w:szCs w:val="18"/>
          <w:color w:val="auto"/>
        </w:rPr>
        <w:t>– outlines the steps to be taken, based upon the incident and the systems potentially impacted, to mitigate the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of the threat and restore system access and functionality in the minimum amount of time;</w:t>
      </w:r>
    </w:p>
    <w:p>
      <w:pPr>
        <w:ind w:left="660" w:hanging="328"/>
        <w:spacing w:after="0" w:line="26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Training and Awareness </w:t>
      </w:r>
      <w:r>
        <w:rPr>
          <w:rFonts w:ascii="Times New Roman" w:cs="Times New Roman" w:eastAsia="Times New Roman" w:hAnsi="Times New Roman"/>
          <w:sz w:val="18"/>
          <w:szCs w:val="18"/>
          <w:color w:val="auto"/>
        </w:rPr>
        <w:t>– development of training and awareness programs to allow employees to understand how to promptly respond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 of a perceived threat.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Cybersecurity risk management is overseen by our senior leadership as part of its broader enterprise risk management processes. Our Vice President, Information Technology (“VP-IT”) is responsible for overseeing cybersecurity operations, including monitoring security risks, maintaining security technologies and coordinating responses to cybersecurity incidents. Our VP-IT is responsible for reporting material incidents to our Chief Executive Officer, who in turn will report to the Chairman of the Board of Directors. Our VP-IT has over 25 years of experience spanning programming, architecture, applications development and IT management. Our Board of Directors provides oversight of our risks and is assisted by our senior leadership in the exercise of these responsibilities.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4" w:name="page25"/>
    <w:bookmarkEnd w:id="24"/>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describes the material facilities that we owned or leased as of December 31, 2025:</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27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 xml:space="preserve">Location </w:t>
            </w:r>
            <w:r>
              <w:rPr>
                <w:rFonts w:ascii="Times New Roman" w:cs="Times New Roman" w:eastAsia="Times New Roman" w:hAnsi="Times New Roman"/>
                <w:sz w:val="23"/>
                <w:szCs w:val="23"/>
                <w:color w:val="auto"/>
                <w:vertAlign w:val="superscript"/>
              </w:rPr>
              <w:t>(1)</w:t>
            </w:r>
          </w:p>
        </w:tc>
        <w:tc>
          <w:tcPr>
            <w:tcW w:w="24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Status</w:t>
            </w: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Square Feet</w:t>
            </w:r>
          </w:p>
        </w:tc>
        <w:tc>
          <w:tcPr>
            <w:tcW w:w="45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Uses</w:t>
            </w:r>
          </w:p>
        </w:tc>
      </w:tr>
      <w:tr>
        <w:trPr>
          <w:trHeight w:val="223"/>
        </w:trPr>
        <w:tc>
          <w:tcPr>
            <w:tcW w:w="26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Tulsa, Oklahoma</w:t>
            </w:r>
          </w:p>
        </w:tc>
        <w:tc>
          <w:tcPr>
            <w:tcW w:w="12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 and Leased</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91,780</w:t>
            </w:r>
          </w:p>
        </w:tc>
        <w:tc>
          <w:tcPr>
            <w:tcW w:w="120" w:type="dxa"/>
            <w:vAlign w:val="bottom"/>
            <w:tcBorders>
              <w:top w:val="single" w:sz="8" w:color="CCEEFF"/>
            </w:tcBorders>
            <w:shd w:val="clear" w:color="auto" w:fill="CCEEFF"/>
          </w:tcPr>
          <w:p>
            <w:pPr>
              <w:spacing w:after="0"/>
              <w:rPr>
                <w:sz w:val="19"/>
                <w:szCs w:val="19"/>
                <w:color w:val="auto"/>
              </w:rPr>
            </w:pPr>
          </w:p>
        </w:tc>
        <w:tc>
          <w:tcPr>
            <w:tcW w:w="4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Compressor assembly, rental and services</w:t>
            </w:r>
          </w:p>
        </w:tc>
      </w:tr>
      <w:tr>
        <w:trPr>
          <w:trHeight w:val="229"/>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Lewiston, Michigan</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15,360</w:t>
            </w:r>
          </w:p>
        </w:tc>
        <w:tc>
          <w:tcPr>
            <w:tcW w:w="12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Parts and service center</w:t>
            </w:r>
          </w:p>
        </w:tc>
      </w:tr>
      <w:tr>
        <w:trPr>
          <w:trHeight w:val="230"/>
        </w:trPr>
        <w:tc>
          <w:tcPr>
            <w:tcW w:w="2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Midland, Texas</w:t>
            </w:r>
          </w:p>
        </w:tc>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w:t>
            </w:r>
          </w:p>
        </w:tc>
        <w:tc>
          <w:tcPr>
            <w:tcW w:w="120" w:type="dxa"/>
            <w:vAlign w:val="bottom"/>
            <w:shd w:val="clear" w:color="auto" w:fill="CCEEFF"/>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office</w:t>
            </w:r>
          </w:p>
        </w:tc>
      </w:tr>
      <w:tr>
        <w:trPr>
          <w:trHeight w:val="229"/>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Midland, Texas</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9,340</w:t>
            </w:r>
          </w:p>
        </w:tc>
        <w:tc>
          <w:tcPr>
            <w:tcW w:w="12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Parts and service center</w:t>
            </w:r>
          </w:p>
        </w:tc>
      </w:tr>
      <w:tr>
        <w:trPr>
          <w:trHeight w:val="230"/>
        </w:trPr>
        <w:tc>
          <w:tcPr>
            <w:tcW w:w="2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Pecos, Texas</w:t>
            </w:r>
          </w:p>
        </w:tc>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shd w:val="clear" w:color="auto" w:fill="CCEEFF"/>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Parts and service center</w:t>
            </w:r>
          </w:p>
        </w:tc>
      </w:tr>
      <w:tr>
        <w:trPr>
          <w:trHeight w:val="229"/>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Bloomfield, New Mexico</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2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Parts and service center</w:t>
            </w:r>
          </w:p>
        </w:tc>
      </w:tr>
      <w:tr>
        <w:trPr>
          <w:trHeight w:val="229"/>
        </w:trPr>
        <w:tc>
          <w:tcPr>
            <w:tcW w:w="2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Southlake, Texas</w:t>
            </w:r>
          </w:p>
        </w:tc>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120" w:type="dxa"/>
            <w:vAlign w:val="bottom"/>
            <w:shd w:val="clear" w:color="auto" w:fill="CCEEFF"/>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Headquarters and Executive office</w:t>
            </w:r>
          </w:p>
        </w:tc>
      </w:tr>
      <w:tr>
        <w:trPr>
          <w:trHeight w:val="230"/>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Godley, Texas</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Parts and service center</w:t>
            </w:r>
          </w:p>
        </w:tc>
      </w:tr>
      <w:tr>
        <w:trPr>
          <w:trHeight w:val="229"/>
        </w:trPr>
        <w:tc>
          <w:tcPr>
            <w:tcW w:w="2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Bridgeport, Texas</w:t>
            </w:r>
          </w:p>
        </w:tc>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shd w:val="clear" w:color="auto" w:fill="CCEEFF"/>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Parts and service center</w:t>
            </w:r>
          </w:p>
        </w:tc>
      </w:tr>
      <w:tr>
        <w:trPr>
          <w:trHeight w:val="229"/>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Odessa, Texas</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2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Parts and service center</w:t>
            </w:r>
          </w:p>
        </w:tc>
      </w:tr>
      <w:tr>
        <w:trPr>
          <w:trHeight w:val="230"/>
        </w:trPr>
        <w:tc>
          <w:tcPr>
            <w:tcW w:w="2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Carlsbad, New Mexico</w:t>
            </w:r>
          </w:p>
        </w:tc>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shd w:val="clear" w:color="auto" w:fill="CCEEFF"/>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Parts and service center</w:t>
            </w:r>
          </w:p>
        </w:tc>
      </w:tr>
      <w:tr>
        <w:trPr>
          <w:trHeight w:val="229"/>
        </w:trPr>
        <w:tc>
          <w:tcPr>
            <w:tcW w:w="2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Carrollton, Ohio</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2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Parts and service center</w:t>
            </w:r>
          </w:p>
        </w:tc>
      </w:tr>
      <w:tr>
        <w:trPr>
          <w:trHeight w:val="230"/>
        </w:trPr>
        <w:tc>
          <w:tcPr>
            <w:tcW w:w="2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Wheeler, Texas</w:t>
            </w:r>
          </w:p>
        </w:tc>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20" w:type="dxa"/>
            <w:vAlign w:val="bottom"/>
            <w:shd w:val="clear" w:color="auto" w:fill="CCEEFF"/>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Parts and service center</w:t>
            </w:r>
          </w:p>
        </w:tc>
      </w:tr>
    </w:tbl>
    <w:p>
      <w:pPr>
        <w:spacing w:after="0" w:line="14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corporate headquarters and executive office is located at 601 State Street, Suite 400, Southlake, Texas 76092 and our main office telephone number is (432) 262-2700.</w:t>
      </w:r>
    </w:p>
    <w:p>
      <w:pPr>
        <w:spacing w:after="0" w:line="54" w:lineRule="exact"/>
        <w:rPr>
          <w:sz w:val="20"/>
          <w:szCs w:val="20"/>
          <w:color w:val="auto"/>
        </w:rPr>
      </w:pPr>
    </w:p>
    <w:p>
      <w:pPr>
        <w:jc w:val="both"/>
        <w:ind w:firstLine="8"/>
        <w:spacing w:after="0" w:line="247" w:lineRule="auto"/>
        <w:tabs>
          <w:tab w:leader="none" w:pos="324"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 xml:space="preserve">The above table excludes our former fabrication and corporate headquarters facilities in Midland, Texas for which we began efforts to market for sale in the second quarter of 2025 and first quarter of 2026, respectively. See </w:t>
      </w:r>
      <w:r>
        <w:rPr>
          <w:rFonts w:ascii="Times New Roman" w:cs="Times New Roman" w:eastAsia="Times New Roman" w:hAnsi="Times New Roman"/>
          <w:sz w:val="18"/>
          <w:szCs w:val="18"/>
          <w:u w:val="single" w:color="auto"/>
          <w:color w:val="0000FF"/>
        </w:rPr>
        <w:t>Note 5 (“Assets Held for Sale and Restructuring Activities”)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Note 7 (“Property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Equipment”)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Note 19 (“Subsequent Events”)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our Consolidated Financial Statements. Also excludes certain properties that are leased 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temporary housing of our operations personnel in certain of our more remote operating regions.</w:t>
      </w:r>
    </w:p>
    <w:p>
      <w:pPr>
        <w:spacing w:after="0" w:line="84" w:lineRule="exact"/>
        <w:rPr>
          <w:sz w:val="20"/>
          <w:szCs w:val="20"/>
          <w:color w:val="auto"/>
        </w:rPr>
      </w:pPr>
    </w:p>
    <w:p>
      <w:pPr>
        <w:ind w:right="260" w:firstLine="648"/>
        <w:spacing w:after="0" w:line="406" w:lineRule="auto"/>
        <w:rPr>
          <w:sz w:val="20"/>
          <w:szCs w:val="20"/>
          <w:color w:val="auto"/>
        </w:rPr>
      </w:pPr>
      <w:r>
        <w:rPr>
          <w:rFonts w:ascii="Times New Roman" w:cs="Times New Roman" w:eastAsia="Times New Roman" w:hAnsi="Times New Roman"/>
          <w:sz w:val="18"/>
          <w:szCs w:val="18"/>
          <w:color w:val="auto"/>
        </w:rPr>
        <w:t xml:space="preserve">We believe that our properties are generally well maintained and in good condition and adequate for our operating and administrative purposes. </w:t>
      </w:r>
      <w:r>
        <w:rPr>
          <w:rFonts w:ascii="Times New Roman" w:cs="Times New Roman" w:eastAsia="Times New Roman" w:hAnsi="Times New Roman"/>
          <w:sz w:val="18"/>
          <w:szCs w:val="18"/>
          <w:b w:val="1"/>
          <w:bCs w:val="1"/>
          <w:color w:val="auto"/>
        </w:rPr>
        <w:t>ITEM 3. LEGAL PROCEEDINGS</w:t>
      </w:r>
    </w:p>
    <w:p>
      <w:pPr>
        <w:spacing w:after="0" w:line="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are a party to various legal proceedings in the ordinary course of our business. While management is unable to predict the ultimate outcome of these actions, we believe that any ultimate liability arising from these actions will not have a material effect on our financial position, results of operations or cash flows. We are not currently a party to any bankruptcy, receivership, reorganization, adjustment or similar proceeding, and we are not aware of any material threatened litigation.</w:t>
      </w:r>
    </w:p>
    <w:p>
      <w:pPr>
        <w:spacing w:after="0" w:line="12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left="360" w:right="2740" w:hanging="349"/>
        <w:spacing w:after="0" w:line="286" w:lineRule="auto"/>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 xml:space="preserve"> </w:t>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5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common stock currently trades on the New York Stock Exchange under the symbol “NGS.” As of December 31, 2025, as reflected by our transfer agent records, we had seven record holders of our common stock. This number does not include any beneficial owners for whom shares of common stock may be held in “nominee” or “street” name. On March 13, 2026, the last reported sale price of our common stock as reported by the New York Stock Exchange was $35.59 per share.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9, 2026, we announced that our Board of Directors declared a cash dividend of $0.11 per share to stockholders of record as of February 18, 2026. The dividend was paid on March 4, 2026 for a total of $1.4 million. We currently anticipate continuing the payment of quarterly cash dividends. Payment of dividends in the future will depend upon our earnings, capital requirements, and other factors which our Board of Directors may deem relevant. Our Credit Facility agreement also contains restrictions on our paying dividends under certain circumstances.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For disclosures regarding securities authorized for issuance under equity compensation plans, see </w:t>
      </w:r>
      <w:r>
        <w:rPr>
          <w:rFonts w:ascii="Times New Roman" w:cs="Times New Roman" w:eastAsia="Times New Roman" w:hAnsi="Times New Roman"/>
          <w:sz w:val="18"/>
          <w:szCs w:val="18"/>
          <w:u w:val="single" w:color="auto"/>
          <w:color w:val="0000FF"/>
        </w:rPr>
        <w:t>Part III, Item 12. “Security Ownership of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Beneficial Owners and Management and Related Stockholder Matters”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of this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Unregistered Securities and Issuer Repurchases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Issuer and Affiliated Purchasers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8, 2025, our Board of Directors approved a share repurchase program (the “Repurchase Plan”). The Repurchase Plan provides for the repurchase of shares of our common stock from time to time in the open market as conditions, cash reserves, cash flows and the evaluation of uses of cash for operations, growth and share repurchase may allow. The Repurchase Plan is limited to $6 million and expires on August 6, 2027. There were no share repurchases during 2025.</w:t>
      </w:r>
    </w:p>
    <w:p>
      <w:pPr>
        <w:spacing w:after="0" w:line="12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6" w:name="page27"/>
    <w:bookmarkEnd w:id="26"/>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discussion and analysis of our financial condition and results of operations for each of the years ended December 31, 2025 and 2024 are based on, and should be read in conjunction with, our audited Consolidated Financial Statements and the related notes included elsewhere in this 2025 Annual Report on Form 10-K. For a discussion and analysis of changes from 2023 to 2024 and other financial information related to prior periods, refer to Part II, Item 7. “Management’s Discussion and Analysis of Financial Condition and Results of Operations” included in our 2024 Annual Report on Form 10-K. The following discussion contains forward-looking statements that include risks and uncertainties. For a description of limitations inherent in forward-looking statements, see </w:t>
      </w:r>
      <w:r>
        <w:rPr>
          <w:rFonts w:ascii="Times New Roman" w:cs="Times New Roman" w:eastAsia="Times New Roman" w:hAnsi="Times New Roman"/>
          <w:sz w:val="18"/>
          <w:szCs w:val="18"/>
          <w:u w:val="single" w:color="auto"/>
          <w:color w:val="0000FF"/>
        </w:rPr>
        <w:t>“Special Note Regarding Forward-Looking Statements” on page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Part I, Item 1A. “Risk Factors”</w:t>
      </w:r>
      <w:r>
        <w:rPr>
          <w:rFonts w:ascii="Times New Roman" w:cs="Times New Roman" w:eastAsia="Times New Roman" w:hAnsi="Times New Roman"/>
          <w:sz w:val="18"/>
          <w:szCs w:val="18"/>
          <w:color w:val="auto"/>
        </w:rPr>
        <w:t xml:space="preserve"> in this Report.</w:t>
      </w:r>
    </w:p>
    <w:p>
      <w:pPr>
        <w:spacing w:after="0" w:line="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dollar amounts included in the tables that follow are presented in thousands unless otherwise indicated. Certain variances presented as changes in year over year amounts that represent results that are not meaningful are indicated as “NM.”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rent, design, install, service and maintain natural gas and electric compressors and related equipment for oil and gas production and processing facilities, generally using equipment from third-party fabricators and OEM suppliers. Substantially all of our compressor assembly is done by third-party contractors while a limited level of assembly work remains in-house at our Tulsa, Oklahoma facility. Our primary focus is on the rental of natural gas engine and electric motor drive compressors. Our rental agreements generally provide for initial terms of 12 to 60 months, with our large horsepower units having longer initial terms than our small and medium horsepower units. After the initial term of our rental agreements, most of our customers have continued to rent our compressors on a month-to-month basis. Rental amounts are billed monthly in advance and include maintenance of the rented compressor units.</w:t>
      </w:r>
    </w:p>
    <w:p>
      <w:pPr>
        <w:spacing w:after="0" w:line="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conduct our operations in several oil and gas producing basins throughout the U.S. including the Permian, Barnett Shale, Anadarko, San Juan, Utica/Marcellus Shale, Eagle Ford Shale and Antrim Shale. We have operating facilities in five states including Texas, Oklahoma, New Mexico, Michigan and Ohio. A total of 78 percent of our rental revenue is generated from the Permian Basin and approximately 90 percent of our rental revenue supports oil production primarily in the form of gas lift operations. We operate in one reporting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 of the Industry and Outlook</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strategy for growth is focused on our compressor rental business. Gross margins, exclusive of depreciation and amortization, for our rental business have historically been in the mid-50 percent to low-60 percent range, while margins for the compressor sales and aftermarket services businesses tend to be substantially lower.</w:t>
      </w:r>
    </w:p>
    <w:p>
      <w:pPr>
        <w:spacing w:after="0" w:line="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oil and gas equipment rental and services industry is cyclical in nature. The most critical factor in assessing the outlook for the industry is the worldwide supply and demand for oil and gas and the corresponding changes in commodity prices. As demand and prices increase, oil and gas producers typically increase their capital expenditures for drilling, development and production activities, although recent equity capital constraints and demands from institutional investors to keep spending within operating cash flow have meaningfully restrained capital expenditure budgets of domestic E&amp;P companies. Generally, increased capital expenditures result in greater revenues and profits for service and equipment companies.</w:t>
      </w:r>
    </w:p>
    <w:p>
      <w:pPr>
        <w:spacing w:after="0" w:line="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Generally, sustained higher commodity prices lead to higher capital expenditures by oil and gas producers and higher levels of production. In general, we expect our overall business activity and revenues to track the level of activity in the oil and gas industry, specifically production levels, with changes in crude oil and condensate production and consumption levels and prices affecting our business more than changes in domestic natural gas production and consumption levels and prices. In recent years we have increased our rentals in unconventional oil shale plays, which are more dependent on crude oil prices. With this shift towards oil production the demand for overall compression services and products is driven by two general factors; (i) an increased focus by producers on artificial lift applications, e.g., production enhancement with compression assisted gas lift; and (ii) declining reservoir pressure in maturing natural gas producing fields, especially non-conventional production. These latter types of applications have historically been serviced by wellhead size compressors, and continue to be, but there has also been an economic move by our customers towards centralized drilling and production facilities, which have increased the market need for single and multiple larger horsepower compressor packages. We recognized this need in recent years and have shifted our capital program towards acquiring compressor packages that range from 400 horsepower up to 2,500 horsepower for rental to our customers. While this is a response to market conditions and trends, it also provides us with the opportunity to compete as a full-line compression service provider.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7" w:name="page28"/>
    <w:bookmarkEnd w:id="2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typically experience a decline in demand during periods of low oil and gas prices. In recent years, our level of activity has become more largely driven by the price of crude oil as opposed to natural gas. Generally, we feel that the level of demand for our compressor services is more closely tied to production activities, which are likely to fare better than drilling activity in periods of declining commodity prices.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Highlights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key operating statistics as of the dates or for the periods presented, as applicable: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Rented horsepower (at period end)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562,676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491,756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420,432</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rented horsepower</w:t>
            </w: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510,648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457,302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369,484</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Fleet horsepower available (at period end)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662,542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598,840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520,365</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Fleet horsepower available - average</w:t>
            </w: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610,580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558,752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472,360</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Horsepower utilization (at period end)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80.8 %</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horsepower utilization</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81.8 %</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78.2 %</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utilized (at period end)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1,247</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Fleet units (at period end):</w:t>
            </w:r>
          </w:p>
        </w:tc>
        <w:tc>
          <w:tcPr>
            <w:tcW w:w="3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1,876</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 utilization (at period end)</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66.5 %</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revenues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164,326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144,236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106,159</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172,315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156,742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121,167</w:t>
            </w:r>
          </w:p>
        </w:tc>
      </w:tr>
      <w:tr>
        <w:trPr>
          <w:trHeight w:val="234"/>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revenues as a percent of total revenues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87.6 %</w:t>
            </w:r>
          </w:p>
        </w:tc>
      </w:tr>
    </w:tbl>
    <w:p>
      <w:pPr>
        <w:spacing w:after="0" w:line="1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Of the total horsepower utilized as of December 31, 2025, 464,137 of horsepower was being rented under contracts expiring between 2026 and 2030 and 98,539 of that horsepower was being rented on a month-to-month basis. Of the 1,245 compressors utilized as of December 31, 2025, 754 were being rented under multi-year contracts and 491 were being rented on a month-to-month basis.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Performance Trends and Outlook</w:t>
      </w:r>
    </w:p>
    <w:p>
      <w:pPr>
        <w:spacing w:after="0" w:line="135"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8"/>
          <w:szCs w:val="18"/>
          <w:color w:val="auto"/>
        </w:rPr>
        <w:t>The oil and gas industry has historically been cyclical and production levels of oil and gas are dependent upon numerous factors. The market for compression equipment and services is highly dependent on the production levels and pricing of oil and gas.</w:t>
      </w:r>
    </w:p>
    <w:p>
      <w:pPr>
        <w:spacing w:after="0" w:line="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Crude Oil</w:t>
      </w:r>
      <w:r>
        <w:rPr>
          <w:rFonts w:ascii="Times New Roman" w:cs="Times New Roman" w:eastAsia="Times New Roman" w:hAnsi="Times New Roman"/>
          <w:sz w:val="18"/>
          <w:szCs w:val="18"/>
          <w:color w:val="auto"/>
        </w:rPr>
        <w:t>. The level of production for crude oil activity and capital expenditures has generally been dependent upon the prevailing view of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crude oil prices, which are influenced by numerous supply and demand factors, including availability and cost of capital, well productivity and development costs, global and domestic economic conditions, environmental regulations, policies of OPEC and Russia, and other factors. While crude oil prices have historically been volatile, we expect demand for our existing compressor fleet to remain positive assuming crude oil prices remain within reasonable bands with respect to current pricing levels.</w:t>
      </w:r>
    </w:p>
    <w:p>
      <w:pPr>
        <w:spacing w:after="0" w:line="21" w:lineRule="exact"/>
        <w:rPr>
          <w:sz w:val="20"/>
          <w:szCs w:val="20"/>
          <w:color w:val="auto"/>
        </w:rPr>
      </w:pPr>
    </w:p>
    <w:p>
      <w:pPr>
        <w:jc w:val="both"/>
        <w:ind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Natural Gas</w:t>
      </w:r>
      <w:r>
        <w:rPr>
          <w:rFonts w:ascii="Times New Roman" w:cs="Times New Roman" w:eastAsia="Times New Roman" w:hAnsi="Times New Roman"/>
          <w:sz w:val="18"/>
          <w:szCs w:val="18"/>
          <w:color w:val="auto"/>
        </w:rPr>
        <w:t>. We believe the market outlook for natural gas production in the U.S. remains steady while short term price volatility remains a factor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geopolitical influences and shifts in LNG exports. We believe opportunities for increased utilization of our small and medium horsepower units are supported by continued investment in shale gas development, particularly in the Permian basin and the Utica and Marcellus Shales.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utilize certain financial and operating metrics to analyze our performance and assess our operating results and overall profitably and liquidity. The most significant of these measure are “Adjusted Gross Margin” and “Adjusted EBITDA” both of which are measurements that are not explicitly defined in accordance with generally accepted accounting principles in the United States of America (“GAAP”), or non-GAAP financial measures, and may vary among different industries and the participants therein.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Margin</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define “Adjusted Gross Margin” as total revenue less costs of revenues (excluding depreciation and amortization expense). Adjusted gross margin is included as a supplemental disclosure because it is a primary measure used by our management as it represents the results of revenue and costs (excluding depreciation and amortization expense), which are key components of our operations. Adjusted gross margin differs from gross margin, in that gross margin includes depreciation and amortization expense. We believe Adjusted gross margin is important because it focuses on the current operating performance of our operations and excludes the impact of the prior historical costs of the assets acquired or constructed that are utilized in those operations. Depreciation and amortization expense does not accurately reflect the costs required to maintain and replenish the operational usage of our assets and therefore may not portray the costs from current operating activity. Rather, depreciation and amortization expense reflects the systematic allocation of historical property and equipment costs over their estimated useful lives.</w:t>
      </w:r>
    </w:p>
    <w:p>
      <w:pPr>
        <w:spacing w:after="0" w:line="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Adjusted gross margin has certain material limitations associated with its use as compared to gross margin. These limitations are primarily due to the exclusion of depreciation and amortization expense, which is material to our results of operations. Because we use capital assets, depreciation and amortization expense is a necessary element of our costs and our ability to generate revenue. In order to compensate for these limitations, management uses this non-GAAP measure as a supplemental measure to other GAAP results to provide a more complete understanding of our performance.</w:t>
      </w:r>
    </w:p>
    <w:p>
      <w:pPr>
        <w:spacing w:after="0" w:line="1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an indicator of our operating performance, Adjusted gross margin should not be considered an alternative to, or more meaningful than, gross margin as determined in accordance with GAAP. Our Adjusted gross margin may not be comparable to a similarly titled measure of another company because other entities may not calculate Adjusted gross margin in the same manner.</w:t>
      </w:r>
    </w:p>
    <w:p>
      <w:pPr>
        <w:spacing w:after="0" w:line="1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18"/>
          <w:szCs w:val="18"/>
          <w:color w:val="auto"/>
        </w:rPr>
        <w:t>The following table calculates our gross margin, the most directly comparable GAAP financial measure, and reconciles it to Adjusted gross margin with further detail by revenue classification for the periods presented: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121,167</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(62,454)</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allocable to cost of revenues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(25,856)</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32,857</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allocable to cost of revenues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25,856</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gross margin</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100,537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87,986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58,713</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64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gross margin by revenue classification:</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Rental</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57,282</w:t>
            </w:r>
          </w:p>
        </w:tc>
      </w:tr>
      <w:tr>
        <w:trPr>
          <w:trHeight w:val="230"/>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Aftermarket services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adjusted gross margin</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100,537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87,986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58,713</w:t>
            </w:r>
          </w:p>
        </w:tc>
      </w:tr>
      <w:tr>
        <w:trPr>
          <w:trHeight w:val="20"/>
        </w:trPr>
        <w:tc>
          <w:tcPr>
            <w:tcW w:w="6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“Adjusted EBITDA” is a non-GAAP financial measure that we define as net income before interest, taxes, depreciation and amortization, as well as an increase in inventory allowance, impairments, retirement of rental equipment, non-recurring restructuring charges including severance and non-cash equity-classified stock-based compensation expenses. This term, as used and defined by us, may not be comparable to similarly titled measures employed by other companies and is not a measure of performance calculated in accordance with GAAP. Adjusted EBITDA should not be considered in isolation or as a substitute for operating income, net income, cash flows provided by operating, investing and financing activities, or other income or cash flow statement data prepared in accordance with GAAP. However, management believes Adjusted EBITDA is useful to an investor in evaluating our operating performance because:</w:t>
      </w:r>
    </w:p>
    <w:p>
      <w:pPr>
        <w:spacing w:after="0" w:line="27" w:lineRule="exact"/>
        <w:rPr>
          <w:sz w:val="20"/>
          <w:szCs w:val="20"/>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widely used by investors in the energy industry to measure a company’s operating performance without regard to items excluded from the calculation of Adjusted EBITDA, which can vary substantially from company to company depending upon accounting methods and book value of assets, capital structure and the method by which assets were acquired, among other factors;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helps investors to more meaningfully evaluate and compare the results of our operations from period to period by removing the impact of our capital structure and asset base from our operating structure; and</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used by our management for various purposes, including as a measure of operating performance, in presentations to our Board of Directors, as a basis for strategic planning and forecasting, and as a component for setting incentive compensation.</w:t>
      </w:r>
    </w:p>
    <w:p>
      <w:pPr>
        <w:spacing w:after="0" w:line="1"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8"/>
          <w:szCs w:val="18"/>
          <w:color w:val="auto"/>
        </w:rPr>
        <w:t>Adjusted EBITDA has limitations as an analytical tool, and you should not consider it in isolation, or as a substitute for analysis of our results as reported in accordance with GAAP. Some of these limitations are:</w:t>
      </w:r>
    </w:p>
    <w:p>
      <w:pPr>
        <w:spacing w:after="0" w:line="1"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all our cash expenditures, future requirements for capital expenditures, or contractual commitments;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cash requirements necessary to service interest or principal payments on our debts;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does not reflect any capital expenditures for such replacements.</w:t>
      </w:r>
    </w:p>
    <w:p>
      <w:pPr>
        <w:spacing w:after="0" w:line="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other material limitations to using Adjusted EBITDA as a measure of performance, including the inability to analyze the impact of certain recurring items that materially affect our net income or loss, and the lack of comparability of results of operations of different companies. Please read the table below to see how Adjusted EBITDA reconciles to our net income, the most directly comparable GAAP financial measure.</w:t>
      </w:r>
    </w:p>
    <w:p>
      <w:pPr>
        <w:spacing w:after="0" w:line="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our net income, the most directly comparable GAAP financial measure, to Adjusted EBITDA for the periods presented: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4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19,928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w:t>
            </w:r>
          </w:p>
        </w:tc>
      </w:tr>
      <w:tr>
        <w:trPr>
          <w:trHeight w:val="229"/>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13,565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w:t>
            </w:r>
          </w:p>
        </w:tc>
      </w:tr>
      <w:tr>
        <w:trPr>
          <w:trHeight w:val="230"/>
        </w:trPr>
        <w:tc>
          <w:tcPr>
            <w:tcW w:w="6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r>
      <w:tr>
        <w:trPr>
          <w:trHeight w:val="230"/>
        </w:trPr>
        <w:tc>
          <w:tcPr>
            <w:tcW w:w="6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36,656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26,550</w:t>
            </w:r>
          </w:p>
        </w:tc>
      </w:tr>
      <w:tr>
        <w:trPr>
          <w:trHeight w:val="229"/>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30"/>
        </w:trPr>
        <w:tc>
          <w:tcPr>
            <w:tcW w:w="6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Inventory allowance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r>
      <w:tr>
        <w:trPr>
          <w:trHeight w:val="230"/>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Retirement of rental equipment</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30"/>
        </w:trPr>
        <w:tc>
          <w:tcPr>
            <w:tcW w:w="6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Severance and restructuring charges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29"/>
        </w:trPr>
        <w:tc>
          <w:tcPr>
            <w:tcW w:w="64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80,965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45,779</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the Year Ended December 31,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Rental</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generate revenue from renting, maintaining and servicing compressors to our customers under contractual arrangements. The underlying rental service agreements, which all qualify as operating leases under GAAP, generally include a fee for servicing the compressor unit as well as surcharges for fluids during the rental term. Our rental agreement terms typically range from 12 to 60 months. Our revenue is recognized over time, with monthly payments over the term of the agreement. After the terms of the agreement have expired, a customer may renew its agreement or continue renting on a monthly basis thereafter. The primary costs associated with providing our compressor fleet to our customers includes routine maintenance and repairs, fluids, primarily motor oils, and labor and related support costs for our field service facilities and service employees that are geographically dispersed throughout our operating regions.</w:t>
      </w:r>
    </w:p>
    <w:p>
      <w:pPr>
        <w:spacing w:after="0" w:line="2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8"/>
          <w:szCs w:val="18"/>
          <w:color w:val="auto"/>
        </w:rPr>
        <w:t>The following table summarizes the revenues, costs, adjusted gross margin and related operating statistics with respect to our rentals of compressors for the periods presented: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4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4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revenue</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164,326</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144,236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20,090</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rentals (excluding depreciation and amortization)</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64,732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56,903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7,829</w:t>
            </w:r>
          </w:p>
        </w:tc>
        <w:tc>
          <w:tcPr>
            <w:tcW w:w="1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adjusted gross margin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99,594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87,333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12,261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Rental adjusted gross margin percentage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60.6 %</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60.5 %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 of total company revenues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Rented horsepower (at period end)</w:t>
            </w:r>
          </w:p>
        </w:tc>
        <w:tc>
          <w:tcPr>
            <w:tcW w:w="3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562,676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491,756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70,920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Horsepower utilization (at period end)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Units utilized (at period end)</w:t>
            </w:r>
          </w:p>
        </w:tc>
        <w:tc>
          <w:tcPr>
            <w:tcW w:w="3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utilization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Rental revenue increased for the year ended December 31, 2025, as compared to 2024 due primarily to an increase in rented horsepower and units utilized. The increase in revenue reflects a continuing trend of growing demand for our large horsepower units (400 horsepower and greater) which provide for higher rental rates and realized adjusted gross margins. Our utilized horsepower increased during 2025 as compared to 2024 which reflects the continued addition of large horsepower units to our fleet consistent with our emphasis on larger units over the past several years, as well as the retirement of certain medium and small horsepower units from the fleet partially offset by the return of small horsepower units to the idle fleet by certain customers at the end of their lease terms. During the year ended December 31, 2025, we placed into service a total of 434 newly set units, including 364 from our existing fleet and 70 new units. Of those unit sets, a total of 126 were large horsepower units and 70 of those were new units to the fleet.</w:t>
      </w:r>
    </w:p>
    <w:p>
      <w:pPr>
        <w:spacing w:after="0" w:line="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cost of rentals increased on an absolute basis, consistent with revenues, due to the effects of supporting a larger quantity of utilized horsepower and inflationary pressures primarily in labor and parts costs. An expanding portion of our rented compressor units utilize our proprietary System Management and Recovery Technology (“SMART”) and telemetry software which reduces unplanned shutdowns and increases productivity. Despite inflationary pressure associated with our primary cost components, the SMART and telemetry technology allows us to streamline and manage our maintenance activities more efficiently and thereby mitigate the costs to a manageable extent. As a result of these factors, our adjusted gross margin increased on both an absolute basis as well as a percentage of revenues for the year ended December 31, 2025, compared to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generate revenue primarily from the sale of compressor parts. Costs of sales include purchases of component materials. In addition, our costs of sales include overhead and related support costs attributable to our storage and assembly, facilities including Midland, Texas through its closure at the end of March 2025.</w:t>
      </w:r>
    </w:p>
    <w:p>
      <w:pPr>
        <w:spacing w:after="0" w:line="1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18"/>
          <w:szCs w:val="18"/>
          <w:color w:val="auto"/>
        </w:rPr>
        <w:t>The following table summarizes the revenues, costs and adjusted gross margin with respect to our sales of compressors, parts and equipment and repair/overhaul services for the periods presented: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0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6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revenue</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3,992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7,613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(3,621)</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4,233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7,903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(3,670)</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adjusted gross margin</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Sales adjusted gross margin percentage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 of total company revenues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Sales revenue declined for the year ended December 31, 2025, as compared to 2024 due primarily to the phasing out of direct sales of compressors and rebuild work which was the primary focus of the former Midland Facility. While the costs to support our sales revenues declined on an absolute basis, primarily reflecting a lower volume of business, the adjusted gross margin improved marginally due primarily to the absence of indirect labor and fixed overhead costs that are not otherwise subject to capitalization subsequent to the closure of the former facility in Midland, Texas which we closed at the end of March 2025. Sales represented an insignificant portion of our overall gross margins in 2025 and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Aftermarket Services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provide routine or call-out services on customer-owned equipment as well as commissioning of new units for customers. Revenue is recognized after services in the contract are rendered. The primary costs associated with our aftermarket services are labor, support costs, materials and supplies.</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revenues, costs and adjusted gross margin with respect to our aftermarket services for the periods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0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6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Aftermarket services revenue</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3,997</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4,893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aftermarket services (excluding depreciation and amortization)</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2,813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3,950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(1,137)</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Aftermarket services adjusted gross margin</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Aftermarket services adjusted gross margin percentage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29.6 %</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19.3 %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10.3 %</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 of total company revenues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Aftermarket services revenues and costs declined for the year ended December 31, 2025, compared to 2024; however, the absolute gross margin and percentage both improved as compared to 2024. The decline in revenues and costs is primarily attributable to a lower volume of unit commissioning work performed during 2025 compared to 2024 as well as the effects of lower freight costs. Aftermarket services represented an insignificant portion of our overall gross margins in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selling, general and administrative (“SG&amp;A”) expenses include compensation and benefits, including stock-based compensation, commissions and other support costs of departments serving administrative and corporate governance functions, such as executive management, finance and accounting, sales and marketing, procurement, logistics and supply chain, human resources, information technology (“IT”), health, safety and environmental and investor relations. In addition, SG&amp;A includes non-personnel costs, such as rent and occupancy, IT support, professional fees and other supporting corporate expenses including public company compliance costs.</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of our SG&amp;A expenses for the periods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4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Primary selling, general and administrative expenses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20,285</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19,191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 - equity classified</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2,126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305</w:t>
            </w:r>
          </w:p>
        </w:tc>
        <w:tc>
          <w:tcPr>
            <w:tcW w:w="1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22,411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21,012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1,399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SG&amp;A expenses as a percent of total revenues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SG&amp;A expenses increased for the year ended December 31, 2025, as compared to 2024 on an absolute dollar basis and declined marginally as a percent of total revenues. In general, the increase in primary SG&amp;A expenses reflects a higher level of cost to appropriately scale our administrative function. The increase in primary SG&amp;A expenses during 2025 as compared to 2024 was impacted by (i) higher IT support costs of $1.0 million in support of our growth initiatives and noncapitalizable costs associated with certain IT system conversion projects, (ii) higher salaries and benefits of $0.8 million reflecting support staff growth and (iii) higher occupancy and office costs of $0.2 million. These increases were partially offset by (i) lower commissions of $0.5 million and (ii) lower credit loss expenses of $0.2 million. Our equity classified stock-based compensation increased during in 2025 over 2024 due primarily to a higher mix of performance-based share unit awards, or PSUs, for our executive officers in the 2025 period. PSUs generally have a higher grant-date fair value than traditional restricted stock and restricted stock unit awards.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Depreciation and amortization expenses reflect the depreciation of our rental compressor fleet as well as the depreciation and amortization of our operating and corporate facilities, vehicles and other equipment, and the amortization of finance leases and intangible assets.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of our depreciation and amortization expenses for the periods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0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23"/>
        </w:trPr>
        <w:tc>
          <w:tcPr>
            <w:tcW w:w="51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6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9"/>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allocable to cost of revenues: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30"/>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Rental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35,812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30,453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5,359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17.6 %</w:t>
            </w:r>
          </w:p>
        </w:tc>
      </w:tr>
      <w:tr>
        <w:trPr>
          <w:trHeight w:val="23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107</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36.1 %</w:t>
            </w:r>
          </w:p>
        </w:tc>
      </w:tr>
      <w:tr>
        <w:trPr>
          <w:trHeight w:val="230"/>
        </w:trPr>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Aftermarket services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29.7 %</w:t>
            </w:r>
          </w:p>
        </w:tc>
      </w:tr>
      <w:tr>
        <w:trPr>
          <w:trHeight w:val="223"/>
        </w:trPr>
        <w:tc>
          <w:tcPr>
            <w:tcW w:w="5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36,298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30,813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5,485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depreciation</w:t>
            </w:r>
          </w:p>
        </w:tc>
        <w:tc>
          <w:tcPr>
            <w:tcW w:w="3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36,656</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31,347</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5,309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16.9 %</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as a percent of total revenues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bl>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increased on an absolute basis during the year ended December 31, 2025, compared to 2024, due primarily to depreciation expense associated with the large horsepower units placed in service during the second half of 2024 continuing through the end of 2025. These large horsepower unit additions, which began in earnest during 2023, are reflective of our strategic plans to concentrate our business development on these higher margin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assess our long-lived assets for impairment on an annual basis or when indicators of impairment are present. An impairment loss is recognized if the future undiscounted cash flows associated with the asset (or asset group) and the estimated fair value of the asset are less than the asset’s carrying value.</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indicates the charges incurred for impairments for the periods presented: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3"/>
        </w:trPr>
        <w:tc>
          <w:tcPr>
            <w:tcW w:w="54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209.2 %</w:t>
            </w:r>
          </w:p>
        </w:tc>
      </w:tr>
    </w:tbl>
    <w:p>
      <w:pPr>
        <w:spacing w:after="0" w:line="13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our efforts to plan for an eventual sale of the Former Headquarters Property, we undertook certain actions in the fourth quarter of 2025 to begin building-out a new leased office facility in Midland, Texas. While the Former Headquarters Property remained in use as of December 31, 2025, these actions triggered a review for impairment of the Former Headquarters Property consistent with our plans to relocate to the new leased facility in 2026. In our evaluation for the impairment, the cash flows that we considered were those that we expect to receive from a sale of the Former Headquarters Property, less costs to sell, or fair value. As the carrying value of the Former Headquarters Property exceeded the fair value less costs to sell, we recognized an impairment of $2.6 million in the fourth quarter of 2025. Subsequently, we entered into an exclusive listing agreement in February 2026 for the sale of the Former Headquarters Property. Please see </w:t>
      </w:r>
      <w:r>
        <w:rPr>
          <w:rFonts w:ascii="Times New Roman" w:cs="Times New Roman" w:eastAsia="Times New Roman" w:hAnsi="Times New Roman"/>
          <w:sz w:val="18"/>
          <w:szCs w:val="18"/>
          <w:u w:val="single" w:color="auto"/>
          <w:color w:val="0000FF"/>
        </w:rPr>
        <w:t>Note 7 (“Property and Equipment”)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19 (“Subsequent Events”)</w:t>
      </w:r>
      <w:r>
        <w:rPr>
          <w:rFonts w:ascii="Times New Roman" w:cs="Times New Roman" w:eastAsia="Times New Roman" w:hAnsi="Times New Roman"/>
          <w:sz w:val="18"/>
          <w:szCs w:val="18"/>
          <w:color w:val="auto"/>
        </w:rPr>
        <w:t xml:space="preserve"> to our Consolidated Financial Statements for additional information. During 2024, we fully impaired an intangible asset attributable to a trade name for $0.7 million. Consistent with our shift in focus away from the sales of compressor and related technology, we determined that we will no longer market the technology associated with the trade name. In addition, we fully impaired certain IT assets in the amount of $0.2 million for which we terminated plans to develop and utilize the associated applications.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Allowance</w:t>
      </w:r>
    </w:p>
    <w:p>
      <w:pPr>
        <w:spacing w:after="0" w:line="121"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We routinely review our stock of inventory for obsolescence and realizability. When the carrying value exceeds the net realizable value, a charge is recorded to operating income.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indicates the charges incurred for inventory allowance for the periods presented: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p>
        </w:tc>
        <w:tc>
          <w:tcPr>
            <w:tcW w:w="302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3"/>
        </w:trPr>
        <w:tc>
          <w:tcPr>
            <w:tcW w:w="54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allowance</w:t>
            </w: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r>
    </w:tbl>
    <w:p>
      <w:pPr>
        <w:spacing w:after="0" w:line="11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During 2025, we recorded an increase of $1.1 million to the allowance for obsolescence primarily attributable to limitations on our ability to market certain assembled parts as well as the transfer of inventory that remains useful from our former Midland, Texas facility, in connection with its closing in March 2025, to our other operating facilities. Due primarily to the slow-moving nature, obsolescence of our long-term inventory and inventory related to the retirement of certain rental equipment, we recorded an increase of $1.9 million to the inventory allowance reserve for the year ended December 31, 2024. We ended 2025 with an inventory allowance balance of $3.6 million. Please see </w:t>
      </w:r>
      <w:r>
        <w:rPr>
          <w:rFonts w:ascii="Times New Roman" w:cs="Times New Roman" w:eastAsia="Times New Roman" w:hAnsi="Times New Roman"/>
          <w:sz w:val="18"/>
          <w:szCs w:val="18"/>
          <w:u w:val="single" w:color="auto"/>
          <w:color w:val="0000FF"/>
        </w:rPr>
        <w:t>Note 4 (“Inventory”)</w:t>
      </w:r>
      <w:r>
        <w:rPr>
          <w:rFonts w:ascii="Times New Roman" w:cs="Times New Roman" w:eastAsia="Times New Roman" w:hAnsi="Times New Roman"/>
          <w:sz w:val="18"/>
          <w:szCs w:val="18"/>
          <w:color w:val="auto"/>
        </w:rPr>
        <w:t xml:space="preserve"> to our Consolidated Financial Statements for additional information regarding the inventory allowance.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of Rental Equipment</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routinely review the rental fleet to determine which units are no longer of the type, configuration, make or model that our customers are demanding or that are not cost efficient to refurbish, maintain and/or operate. When appropriate, we retire such units from the fleet and write-off any remaining carrying value.</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indicates the charges incurred for the retirement of rental equipment for the periods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25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3"/>
        </w:trPr>
        <w:tc>
          <w:tcPr>
            <w:tcW w:w="54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of rental equipment</w:t>
            </w: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bl>
    <w:p>
      <w:pPr>
        <w:spacing w:after="0" w:line="13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retired over 12,000 horsepower of small and medium horsepower compressor units during 2025 with only those units retired having any remaining carrying value. Such retirements were minimal during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Disposition of Assets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circumstances warrant, we will market certain property and equipment, primarily trucks, when we have determined that there is no longer a productive use for such assets or favorable opportunities arise to monetize otherwise idle assets. Gains and losses are recognized accordingly upon the completion of such transactions.</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gains recognized upon the disposition of assets for the periods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2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3"/>
        </w:trPr>
        <w:tc>
          <w:tcPr>
            <w:tcW w:w="5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the disposition of assets, net</w:t>
            </w: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bl>
    <w:p>
      <w:pPr>
        <w:spacing w:after="0" w:line="13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Gains recognized during the years ended December 31, 2025 and 2024 are primarily attributable to the sales of trucks after the completion of their useful lives.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primarily reflects the costs of borrowing, including commitment fees and the amortization of debt issue costs, under our Credit Facility, net of amounts capitalized attributable to certain capital projects. Also included is interest expense on our financing leases during 2024 as all were settled before 2025.</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components of our interest expense for the periods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4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23"/>
        </w:trPr>
        <w:tc>
          <w:tcPr>
            <w:tcW w:w="5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4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borrowings, finance leases and related fees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14,869</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15,904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(1,035)</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issue costs</w:t>
            </w:r>
          </w:p>
        </w:tc>
        <w:tc>
          <w:tcPr>
            <w:tcW w:w="3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56.6 %</w:t>
            </w: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(2,472)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(4,723)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2,251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13,565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11,927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1,638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13.7 %</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r>
      <w:tr>
        <w:trPr>
          <w:trHeight w:val="224"/>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rates on borrowings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outstanding borrowings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192,921</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169,008</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23,913</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11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Interest expense increased during the year ended December 31, 2025, as compared to 2024 due primarily to the effect of $2.3 million lower capitalized interest as a result of the volume and timing of the completion of certain compressor assembly projects during 2025. In addition, amortization of debt issue costs increased during 2025 as compared to 2024 due primarily to the amortization of costs associated with certain amendments to the Credit Facility that took place in June of 2024 as well as the Fourth Amendment to the Amended and Restated Credit Agreement (the “Fourth Amendment”) that was completed in April 2025. While the average borrowings outstanding under our Credit Facility have increased during 2025 as compared 2024, we experienced lower average interest rates consistent with the Federal Reserve interest rate reductions implemented in the second halves of 2024 and 2025 as well as the lower interest rates at comparable leverage levels attributable to the Fourth Amendment.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This component of our income reflects interest earned on investments and certain financial assets including, when applicable, interest on significant income tax refunds receivable.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indicates our interest income for the periods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260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3"/>
        </w:trPr>
        <w:tc>
          <w:tcPr>
            <w:tcW w:w="5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2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2,444</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bl>
    <w:p>
      <w:pPr>
        <w:spacing w:after="0" w:line="13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Interest income for the year ended December 31, 2025 is entirely attributable to interest earned on certain income tax refunds for 2015, 2016, 2017 and 2019. The income tax refunds, including interest, for these tax years were substantially determined and settled in the first quarter of 2026. Please see </w:t>
      </w:r>
      <w:r>
        <w:rPr>
          <w:rFonts w:ascii="Times New Roman" w:cs="Times New Roman" w:eastAsia="Times New Roman" w:hAnsi="Times New Roman"/>
          <w:sz w:val="18"/>
          <w:szCs w:val="18"/>
          <w:u w:val="single" w:color="auto"/>
          <w:color w:val="0000FF"/>
        </w:rPr>
        <w:t>Note 11 (“Income Taxes”)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our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This component of our income primarily reflects non-operating items of income and loss including non-cash gains and losses attributable to our corporate-owned life insurance (“COLI”) policies related to our deferred compensation plan as well as other credits, charges and scrap asset sales. Please see </w:t>
      </w:r>
      <w:r>
        <w:rPr>
          <w:rFonts w:ascii="Times New Roman" w:cs="Times New Roman" w:eastAsia="Times New Roman" w:hAnsi="Times New Roman"/>
          <w:sz w:val="18"/>
          <w:szCs w:val="18"/>
          <w:u w:val="single" w:color="auto"/>
          <w:color w:val="0000FF"/>
        </w:rPr>
        <w:t>Note 12 (“Deferred Compensation Plan”)</w:t>
      </w:r>
      <w:r>
        <w:rPr>
          <w:rFonts w:ascii="Times New Roman" w:cs="Times New Roman" w:eastAsia="Times New Roman" w:hAnsi="Times New Roman"/>
          <w:sz w:val="18"/>
          <w:szCs w:val="18"/>
          <w:color w:val="auto"/>
        </w:rPr>
        <w:t xml:space="preserve"> to our Consolidated Financial Statements for additional information regarding the deferred compensation plan.</w:t>
      </w:r>
    </w:p>
    <w:p>
      <w:pPr>
        <w:spacing w:after="0" w:line="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indicates our other income (expense) for the periods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p>
        </w:tc>
        <w:tc>
          <w:tcPr>
            <w:tcW w:w="2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3"/>
        </w:trPr>
        <w:tc>
          <w:tcPr>
            <w:tcW w:w="542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32.1 %</w:t>
            </w:r>
          </w:p>
        </w:tc>
      </w:tr>
    </w:tbl>
    <w:p>
      <w:pPr>
        <w:spacing w:after="0" w:line="13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net improved for 2025 as compared to 2024 due primarily to certain non-operating credits and scrap asset sales as well as unrealized gains attributable to our COLI policies associated with our deferred compensation plan.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Provision for income taxes represents our income taxes as determined in accordance with GAAP. It considers taxes attributable to our obligations for federal taxes under the IRC as well as to various states in which we operate, primarily Texas. Please see </w:t>
      </w:r>
      <w:r>
        <w:rPr>
          <w:rFonts w:ascii="Times New Roman" w:cs="Times New Roman" w:eastAsia="Times New Roman" w:hAnsi="Times New Roman"/>
          <w:sz w:val="18"/>
          <w:szCs w:val="18"/>
          <w:u w:val="single" w:color="auto"/>
          <w:color w:val="0000FF"/>
        </w:rPr>
        <w:t>Note 11 (“Income Taxes”)</w:t>
      </w:r>
      <w:r>
        <w:rPr>
          <w:rFonts w:ascii="Times New Roman" w:cs="Times New Roman" w:eastAsia="Times New Roman" w:hAnsi="Times New Roman"/>
          <w:sz w:val="18"/>
          <w:szCs w:val="18"/>
          <w:color w:val="auto"/>
        </w:rPr>
        <w:t xml:space="preserve"> to our Consolidated Financial Statements for additional information.</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income tax provision for the periods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23"/>
        </w:trPr>
        <w:tc>
          <w:tcPr>
            <w:tcW w:w="51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6,603</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4,439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2,164</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48.7 %</w:t>
            </w:r>
          </w:p>
        </w:tc>
      </w:tr>
      <w:tr>
        <w:trPr>
          <w:trHeight w:val="23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4.40 %</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1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Income tax expense increased for the year ended December 31, 2025, compared to 2024 due primarily to substantially higher pre-tax income during 2025 and the impact of a higher effective tax rate attributable to state and local income taxes. Our effective tax rate for both years differs from the U.S. federal statutory rate of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primary sources of liquidity include cash provided by operating activities and borrowings under our Credit Facility. On April 18, 2025, we entered into the Fourth Amendment which provides us with up to $400.0 million in borrowing commitments with an additional $100.0 million at our request through an accordion feature. The accordion feature is subject to certain conditions, including the absence of a default, the consent of new or existing lenders willing to provide additional commitments, and our pro forma compliance with the Credit Facility’s financial covenants. As of December 31, 2025, the borrowing base under the Credit Facility was $400.0 million with $230.0 million of borrowings outstanding leaving $170.0 million of availability under the Credit Facility.</w:t>
      </w:r>
    </w:p>
    <w:p>
      <w:pPr>
        <w:spacing w:after="0" w:line="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cash flows from operating and investing activities are subject to a degree of volatility due primarily to (i) the consistency of our customers in remitting amounts owed to us for our services in full and on a timely basis and (ii) the timing of payments to our vendors and suppliers for capital projects which are often made well in advance of placing new compressor equipment into service. In order to mitigate such volatility we employ disciplined efforts to monitor customer credit and maintain communications to support collection efforts when necessary. To the extent necessary, we rely on the availability of our Credit Facility to fund capital expenditures beyond that provided by our cash flows from operating activities.</w:t>
      </w:r>
    </w:p>
    <w:p>
      <w:pPr>
        <w:spacing w:after="0" w:line="21"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8"/>
          <w:szCs w:val="18"/>
          <w:color w:val="auto"/>
        </w:rPr>
        <w:t>Our forecasted capital expenditures for 2026 will continue to be directly dependent upon our customers’ compression requirements and our capital availability, while maintaining prudent levels of debt.</w:t>
      </w:r>
    </w:p>
    <w:p>
      <w:pPr>
        <w:spacing w:after="0" w:line="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level of our capital expenditures will vary in future periods depending on energy market conditions and other related economic factors. Based upon existing economic and market conditions, we believe that cash on hand, cash flows from operating activities and borrowings under the Credit Facility will be sufficient to satisfy our capital, dividend and liquidity requirements for at least the twelve months subsequent to the date that this Annual Report on Form 10-K was filed. We also believe we have flexibility with respect to our financing alternatives and can make adjustments to our capital expenditure plans if circumstances warrant. We do not have any material continuing commitments related to our current operations that cannot be met with our cash on hand, cash from operating activities and borrowings under our Credit Facility.</w:t>
      </w:r>
    </w:p>
    <w:p>
      <w:pPr>
        <w:spacing w:after="0" w:line="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If we require additional capital to fund any significant unanticipated expenditures, including any material acquisitions of other businesses, joint ventures or other opportunities, this additional capital could exceed our current resources and might not be available to us when we need it, or might not be on acceptable terms. In addition, our financing capacity could be negatively impacted by other economic factors. Please see </w:t>
      </w:r>
      <w:r>
        <w:rPr>
          <w:rFonts w:ascii="Times New Roman" w:cs="Times New Roman" w:eastAsia="Times New Roman" w:hAnsi="Times New Roman"/>
          <w:sz w:val="18"/>
          <w:szCs w:val="18"/>
          <w:u w:val="single" w:color="auto"/>
          <w:color w:val="0000FF"/>
        </w:rPr>
        <w:t>Part I, Item 1A, “Risk Factors”</w:t>
      </w:r>
      <w:r>
        <w:rPr>
          <w:rFonts w:ascii="Times New Roman" w:cs="Times New Roman" w:eastAsia="Times New Roman" w:hAnsi="Times New Roman"/>
          <w:sz w:val="18"/>
          <w:szCs w:val="18"/>
          <w:color w:val="auto"/>
        </w:rPr>
        <w:t>, of this Report.</w:t>
      </w:r>
    </w:p>
    <w:p>
      <w:pPr>
        <w:spacing w:after="0" w:line="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 detailed analysis of our historical capital expenditures, see the “Cash Flows” discussion that follows.</w:t>
      </w:r>
    </w:p>
    <w:p>
      <w:pPr>
        <w:spacing w:after="0" w:line="61"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i w:val="1"/>
          <w:iCs w:val="1"/>
          <w:color w:val="auto"/>
        </w:rPr>
        <w:t>Cash From Operating Activitie</w:t>
      </w:r>
      <w:r>
        <w:rPr>
          <w:rFonts w:ascii="Times New Roman" w:cs="Times New Roman" w:eastAsia="Times New Roman" w:hAnsi="Times New Roman"/>
          <w:sz w:val="18"/>
          <w:szCs w:val="18"/>
          <w:color w:val="auto"/>
        </w:rPr>
        <w:t>s. Our cash provided by operating activities was $62.9 million. For additional information and an analysis of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cash flows from operating activities, see the “Cash Flows” discussion that follows.</w:t>
      </w:r>
    </w:p>
    <w:p>
      <w:pPr>
        <w:spacing w:after="0" w:line="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Credit Facility Borrowings</w:t>
      </w:r>
      <w:r>
        <w:rPr>
          <w:rFonts w:ascii="Times New Roman" w:cs="Times New Roman" w:eastAsia="Times New Roman" w:hAnsi="Times New Roman"/>
          <w:sz w:val="18"/>
          <w:szCs w:val="18"/>
          <w:color w:val="auto"/>
        </w:rPr>
        <w:t>. During 2025, we borrowed $60.0 million, net of repayments, under the Credit Facility. The following 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summarizes our borrowing activity under the Credit facility for the periods presented: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6"/>
          </w:tcPr>
          <w:p>
            <w:pPr>
              <w:jc w:val="center"/>
              <w:ind w:right="50"/>
              <w:spacing w:after="0"/>
              <w:rPr>
                <w:sz w:val="20"/>
                <w:szCs w:val="20"/>
                <w:color w:val="auto"/>
              </w:rPr>
            </w:pPr>
            <w:r>
              <w:rPr>
                <w:rFonts w:ascii="Times New Roman" w:cs="Times New Roman" w:eastAsia="Times New Roman" w:hAnsi="Times New Roman"/>
                <w:sz w:val="18"/>
                <w:szCs w:val="18"/>
                <w:color w:val="auto"/>
              </w:rPr>
              <w:t>Borrowings Outstanding</w:t>
            </w:r>
          </w:p>
        </w:tc>
        <w:tc>
          <w:tcPr>
            <w:tcW w:w="1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Weighted-average</w:t>
            </w:r>
          </w:p>
        </w:tc>
        <w:tc>
          <w:tcPr>
            <w:tcW w:w="0" w:type="dxa"/>
            <w:vAlign w:val="bottom"/>
          </w:tcPr>
          <w:p>
            <w:pPr>
              <w:spacing w:after="0"/>
              <w:rPr>
                <w:sz w:val="1"/>
                <w:szCs w:val="1"/>
                <w:color w:val="auto"/>
              </w:rPr>
            </w:pPr>
          </w:p>
        </w:tc>
      </w:tr>
      <w:tr>
        <w:trPr>
          <w:trHeight w:val="155"/>
        </w:trPr>
        <w:tc>
          <w:tcPr>
            <w:tcW w:w="5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End of Period</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Weighted-average</w:t>
            </w:r>
          </w:p>
        </w:tc>
        <w:tc>
          <w:tcPr>
            <w:tcW w:w="220" w:type="dxa"/>
            <w:vAlign w:val="bottom"/>
          </w:tcPr>
          <w:p>
            <w:pPr>
              <w:spacing w:after="0"/>
              <w:rPr>
                <w:sz w:val="21"/>
                <w:szCs w:val="21"/>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Maximum</w:t>
            </w:r>
          </w:p>
        </w:tc>
        <w:tc>
          <w:tcPr>
            <w:tcW w:w="15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Rate</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December 31, 2025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6.82 %</w:t>
            </w:r>
          </w:p>
        </w:tc>
        <w:tc>
          <w:tcPr>
            <w:tcW w:w="0" w:type="dxa"/>
            <w:vAlign w:val="bottom"/>
          </w:tcPr>
          <w:p>
            <w:pPr>
              <w:spacing w:after="0"/>
              <w:rPr>
                <w:sz w:val="1"/>
                <w:szCs w:val="1"/>
                <w:color w:val="auto"/>
              </w:rPr>
            </w:pPr>
          </w:p>
        </w:tc>
      </w:tr>
      <w:tr>
        <w:trPr>
          <w:trHeight w:val="234"/>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62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192,921</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7.31 %</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additional information regarding the terms and covenants under the Credit Facility, see the “Capitalization” discussion that follows.</w:t>
      </w:r>
    </w:p>
    <w:p>
      <w:pPr>
        <w:spacing w:after="0" w:line="6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Proceeds from Sales and Monetization of Assets</w:t>
      </w:r>
      <w:r>
        <w:rPr>
          <w:rFonts w:ascii="Times New Roman" w:cs="Times New Roman" w:eastAsia="Times New Roman" w:hAnsi="Times New Roman"/>
          <w:sz w:val="18"/>
          <w:szCs w:val="18"/>
          <w:color w:val="auto"/>
        </w:rPr>
        <w:t>. We continually evaluate the potential sale of assets, including underutilized or retired compressor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units, obsolete and slow-moving inventory and non-strategic real estate assets, among others. For additional information and an analysis of or historical proceeds from sales of assets, see the “Cash Flows” discussion that follows.</w:t>
      </w:r>
    </w:p>
    <w:p>
      <w:pPr>
        <w:spacing w:after="0" w:line="1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Capital Markets Transactions</w:t>
      </w:r>
      <w:r>
        <w:rPr>
          <w:rFonts w:ascii="Times New Roman" w:cs="Times New Roman" w:eastAsia="Times New Roman" w:hAnsi="Times New Roman"/>
          <w:sz w:val="18"/>
          <w:szCs w:val="18"/>
          <w:color w:val="auto"/>
        </w:rPr>
        <w:t>. From time-to-time and under market conditions that we believe are favorable to us, we may consider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transactions, including the offering of debt and equity securities. We maintain an effective shelf registration statement with the SEC for up to $200 million for a variety of securities to provide financing optionality.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4"/>
        </w:trPr>
        <w:tc>
          <w:tcPr>
            <w:tcW w:w="8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6"/>
        </w:trPr>
        <w:tc>
          <w:tcPr>
            <w:tcW w:w="8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0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66,463</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(121,297)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(71,440)</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56,228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0"/>
        </w:trPr>
        <w:tc>
          <w:tcPr>
            <w:tcW w:w="8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Cash Flows from Operating Activities. </w:t>
      </w:r>
      <w:r>
        <w:rPr>
          <w:rFonts w:ascii="Times New Roman" w:cs="Times New Roman" w:eastAsia="Times New Roman" w:hAnsi="Times New Roman"/>
          <w:sz w:val="18"/>
          <w:szCs w:val="18"/>
          <w:color w:val="auto"/>
        </w:rPr>
        <w:t>Our cash flows from operating activities decreased by $3.5 million during 2025 from 2024. From a broad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perspective, cash flows declined in 2025 due primarily to the substantial progress made in the 2024 period for improving our processes for billings and collections from certain customers that had the effect of lowering our days sales outstanding (“DSO”) statistics for accounts receivable accounts. While these efforts have continued with favorable DSO performance throughout 2025, the timing effect was more beneficial during 2024 while 2025 reflects a more normalized cash operating cycle. In addition, we increased our maintenance parts inventory during 2025 in support of our growing fleet and incurred substantially higher costs in 2025 attributable to certain IT system conversion projects. These working capital uses were partially offset by growth in accounts payable and the favorable effects of higher realized margins attributable to growth in our high horsepower unit rentals.</w:t>
      </w:r>
    </w:p>
    <w:p>
      <w:pPr>
        <w:spacing w:after="0" w:line="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Flows from Investing Activities. </w:t>
      </w:r>
      <w:r>
        <w:rPr>
          <w:rFonts w:ascii="Times New Roman" w:cs="Times New Roman" w:eastAsia="Times New Roman" w:hAnsi="Times New Roman"/>
          <w:sz w:val="18"/>
          <w:szCs w:val="18"/>
          <w:color w:val="auto"/>
        </w:rPr>
        <w:t>For the years ended December 31, 2025 and 2024, we invested approximately $121.5 million and $71.9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in rental equipment, property and other equipment. Included in these totals for 2025 and 2024 were $109.8 million and $60.5 million for growth capital expenditures to expand our rental fleet and $11.7 million and $11.4 million for capital maintenance projects, respectively. Our investment in rental equipment includes any changes to work-in-progress related to our rental fleet projects at the beginning of the year compared to the end of the year. We also received proceeds from the sale of property and equipment of $0.1 million and $0.5 million in 2025 and 2024, respectively, as well as insurance proceeds from damage to certain rental equipment of $0.1 million during 2025.</w:t>
      </w:r>
    </w:p>
    <w:p>
      <w:pPr>
        <w:spacing w:after="0" w:line="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Cash Flows from Financing Activities. </w:t>
      </w:r>
      <w:r>
        <w:rPr>
          <w:rFonts w:ascii="Times New Roman" w:cs="Times New Roman" w:eastAsia="Times New Roman" w:hAnsi="Times New Roman"/>
          <w:sz w:val="18"/>
          <w:szCs w:val="18"/>
          <w:color w:val="auto"/>
        </w:rPr>
        <w:t>During 2025, we had net borrowings of $60.0 million under the Credit Facility while 2024 included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borrowings of $6.0 million. The increase in net borrowings is due primarily to the substantial investment in large horsepower units during the prior year consistent with our expanding fleet and strategy of directing our business to these larger, higher margin applications. While we incurred and paid debt issuance costs during both years, the amounts paid during 2024 were $0.3 million higher in connection with the Fourth Amendment during 2025 as compared to the costs for amendments to the Credit Facility in 2024. During 2025 we also paid $2.6 million for our common stock dividend which was initiated for the third quarter of 2025 and continued in the fourth quarter. We also received proceeds from the exercise of stock options of $0.2 million and $0.3 million during 2025 and 2024, respectively.</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Capitalization</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8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total capitalization as of the dates presented:</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8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 borrowings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230,000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170,000</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274,716</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255,057</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capitalization</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504,716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425,057</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Debt as a percent of total capitalization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8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45.6 %</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0" w:type="dxa"/>
            <w:vAlign w:val="bottom"/>
          </w:tcPr>
          <w:p>
            <w:pPr>
              <w:spacing w:after="0"/>
              <w:rPr>
                <w:sz w:val="1"/>
                <w:szCs w:val="1"/>
                <w:color w:val="auto"/>
              </w:rPr>
            </w:pPr>
          </w:p>
        </w:tc>
      </w:tr>
    </w:tbl>
    <w:p>
      <w:pPr>
        <w:spacing w:after="0" w:line="1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Credit Facility</w:t>
      </w:r>
      <w:r>
        <w:rPr>
          <w:rFonts w:ascii="Times New Roman" w:cs="Times New Roman" w:eastAsia="Times New Roman" w:hAnsi="Times New Roman"/>
          <w:sz w:val="18"/>
          <w:szCs w:val="18"/>
          <w:color w:val="auto"/>
        </w:rPr>
        <w:t>. We have a senior secured revolving credit agreement, as amended, or the Credit Facility, with Texas Capital Bank, National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Association as administrative agent (the “Administrative Agent”), and TCBI Securities, Inc., Bank of America, N.A., and the Huntington National Bank as joint lead arrangers and joint book runners, and the lenders party thereto (the “Lenders”), with a total commitment of $400.0 million. We also have a right to request from the Lenders, an increase to the potential aggregate commitment of up to $100.0 million; provided, however, the aggregate commitment amount is not permitted to exceed $500.0 million. The obligations under the Credit Facility are secured by a first priority lien on most of our assets, including inventory and certain accounts receivable as well as a variable number of our leased compressor units. The maturity date of the Credit Facility is February 28, 2028.</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8" w:name="page39"/>
    <w:bookmarkEnd w:id="3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Our Credit Facility is subject to: (i) a borrowing base calculation, (ii) variable rates of interest on borrowings that are determined, in part, upon our actual leverage ratio, as defined in the Credit Facility, (iii) commitment fees, (iv) certain financial and other covenants and (v) events of default and acceleration, among other terms and conditions that are customary for such credit instruments. Please see </w:t>
      </w:r>
      <w:r>
        <w:rPr>
          <w:rFonts w:ascii="Times New Roman" w:cs="Times New Roman" w:eastAsia="Times New Roman" w:hAnsi="Times New Roman"/>
          <w:sz w:val="18"/>
          <w:szCs w:val="18"/>
          <w:u w:val="single" w:color="auto"/>
          <w:color w:val="0000FF"/>
        </w:rPr>
        <w:t>Note 10 (“Long-Term Debt”)</w:t>
      </w:r>
      <w:r>
        <w:rPr>
          <w:rFonts w:ascii="Times New Roman" w:cs="Times New Roman" w:eastAsia="Times New Roman" w:hAnsi="Times New Roman"/>
          <w:sz w:val="18"/>
          <w:szCs w:val="18"/>
          <w:color w:val="auto"/>
        </w:rPr>
        <w:t xml:space="preserve"> to our Consolidated Financial Statements for a thorough discussion of these matters regarding our Credit Facility.</w:t>
      </w:r>
    </w:p>
    <w:p>
      <w:pPr>
        <w:spacing w:after="0" w:line="1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we had $230.0 million outstanding under our Credit Facility with a weighted average interest rate of 6.59%. As of December 31, 2025, we had approximately $170.0 million available for borrowing under the Credit Facility, subject to borrowing base determination. As of December 31, 2025, we were in compliance with all financial covenants in our Credit Facility.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describe our significant accounting policies in </w:t>
      </w:r>
      <w:r>
        <w:rPr>
          <w:rFonts w:ascii="Times New Roman" w:cs="Times New Roman" w:eastAsia="Times New Roman" w:hAnsi="Times New Roman"/>
          <w:sz w:val="18"/>
          <w:szCs w:val="18"/>
          <w:u w:val="single" w:color="auto"/>
          <w:color w:val="0000FF"/>
        </w:rPr>
        <w:t>Note 2 (“Summary of Significant Accounting Policies</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to our Consolidated Financial Statements. We believe that the application of these policies on a consistent basis enables us to provide the users of our financial statements with useful and reliable information regarding our results of operations, financial condition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3391535</wp:posOffset>
            </wp:positionH>
            <wp:positionV relativeFrom="paragraph">
              <wp:posOffset>-313055</wp:posOffset>
            </wp:positionV>
            <wp:extent cx="22498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49805" cy="8255"/>
                    </a:xfrm>
                    <a:prstGeom prst="rect">
                      <a:avLst/>
                    </a:prstGeom>
                    <a:noFill/>
                  </pic:spPr>
                </pic:pic>
              </a:graphicData>
            </a:graphic>
          </wp:anchor>
        </w:drawing>
      </w: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GAAP requires us to make estimates and assumptions that affect the reported amounts of assets, liabilities, revenue, expenses and related disclosures. In the ordinary course of business, we have made a number of estimates and assumptions relating to the reporting of results of operations and financial condition in the preparation of our Consolidated Financial Statements. We evaluate our estimates and assumptions on an ongoing basis. Our estimates are generally based on historical experience and various other assumptions that we believe to be reasonable in consideration of our circumstances and expectations for the future based on available information. Our actual results could differ significantly from those estimates under different assumptions and conditions.</w:t>
      </w:r>
    </w:p>
    <w:p>
      <w:pPr>
        <w:spacing w:after="0" w:line="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1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following discussion addresses our most critical accounting estimates, which are those that are most important to the portrayal of our results of operations, financial condition and cash flows and require our most difficult, subjective, and complex judgments, often as a result of the need to make estimates about the effect of matters that are inherently uncertain.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value our total inventory (current and long-term) at the lower of the actual cost and net realizable value. We regularly review inventory quantities on hand and record an allowance for excess and obsolete inventory based primarily on current and anticipated customer demand and production requirements. We assess anticipated customer demand based on current and upcoming capital expenditure budgets of our major customers as well as other significant participants in the industry, along with oil and gas price forecasts and other factors affecting the industry as a whole. Our estimates and assumptions regarding these factors are subject to significant variability and can result in provisions for valuation allowances of our inventory. For the year ended December 31, 2025, our provision for excess and obsolete inventory totaled $1.1 million which increased our allowance for obsolescence to $3.6 million as described more fully in the discussion of our Results of Operations above and </w:t>
      </w:r>
      <w:r>
        <w:rPr>
          <w:rFonts w:ascii="Times New Roman" w:cs="Times New Roman" w:eastAsia="Times New Roman" w:hAnsi="Times New Roman"/>
          <w:sz w:val="18"/>
          <w:szCs w:val="18"/>
          <w:u w:val="single" w:color="auto"/>
          <w:color w:val="0000FF"/>
        </w:rPr>
        <w:t>Note 4 (“Inventory”)</w:t>
      </w:r>
      <w:r>
        <w:rPr>
          <w:rFonts w:ascii="Times New Roman" w:cs="Times New Roman" w:eastAsia="Times New Roman" w:hAnsi="Times New Roman"/>
          <w:sz w:val="18"/>
          <w:szCs w:val="18"/>
          <w:color w:val="auto"/>
        </w:rPr>
        <w:t xml:space="preserve"> to our Consolidated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Depreciation</w:t>
      </w:r>
    </w:p>
    <w:p>
      <w:pPr>
        <w:spacing w:after="0" w:line="1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Depreciation expense is computed using the straight-line method over the estimated useful lives of the underlying long-lived assets. Our rental equipment has estimated useful lives ranging from 15 to 25 years, while our property and equipment has estimated useful lives which range from 3 to 39 years. The estimated useful lives and salvage values of these long-lived assets are based on estimates and assumptions that reflect our historical experience and expectations regarding their future utilization, obsolescence, technical developments, market demand and geographic location. The use of different estimates and assumptions in the determination of depreciation, particularly with respect to useful lives, could result in significant differences to our results of operations. We regularly review the appropriateness of the estimated useful lives of our long-lived assets and may shorten or extend such lives as appropriate based on business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ind w:left="340"/>
        <w:spacing w:after="0"/>
        <w:rPr>
          <w:sz w:val="20"/>
          <w:szCs w:val="20"/>
          <w:color w:val="auto"/>
        </w:rPr>
      </w:pPr>
      <w:r>
        <w:rPr>
          <w:rFonts w:ascii="Times New Roman" w:cs="Times New Roman" w:eastAsia="Times New Roman" w:hAnsi="Times New Roman"/>
          <w:sz w:val="18"/>
          <w:szCs w:val="18"/>
          <w:i w:val="1"/>
          <w:iCs w:val="1"/>
          <w:color w:val="auto"/>
        </w:rPr>
        <w:t>Impairments</w:t>
      </w:r>
    </w:p>
    <w:p>
      <w:pPr>
        <w:spacing w:after="0" w:line="1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assess our long-lived assets, including rental equipment, other property and equipment and intangible assets for impairment whenever events or changes in circumstances indicate that the net carrying values may not be recoverable. The following factors could trigger an impairment review: significant underperformance relative to historical or projected future cash flows; significant adverse changes in the extent or manner in which an asset (or asset group) is being used or its condition, including a meaningful decline in fleet utilization over prior periods; significant negative industry or company-specific trends or actions, including meaningful capital expenditure budget reductions by our major customers or other sizable exploration and production or midstream organizations, as well as significant declines in oil and natural gas prices; legislative changes prohibiting us from leasing our units; or poor general economic conditions. After the assessments of such circumstances, an impairment loss is recognized if the future undiscounted net cash flows associated with the asset (or asset group) and the estimated fair value of the asset are less than the asset’s (or asset group’s) carrying value. During the year ended December 31, 2025, we recognized an impairment of $2.6 million in connection with our efforts to plan for an eventual sale of the Former Headquarters Property. Please see </w:t>
      </w:r>
      <w:r>
        <w:rPr>
          <w:rFonts w:ascii="Times New Roman" w:cs="Times New Roman" w:eastAsia="Times New Roman" w:hAnsi="Times New Roman"/>
          <w:sz w:val="18"/>
          <w:szCs w:val="18"/>
          <w:u w:val="single" w:color="auto"/>
          <w:color w:val="0000FF"/>
        </w:rPr>
        <w:t>Note 7 (“Property and Equipment”)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19 (“Subsequent Events”)</w:t>
      </w:r>
      <w:r>
        <w:rPr>
          <w:rFonts w:ascii="Times New Roman" w:cs="Times New Roman" w:eastAsia="Times New Roman" w:hAnsi="Times New Roman"/>
          <w:sz w:val="18"/>
          <w:szCs w:val="18"/>
          <w:color w:val="auto"/>
        </w:rPr>
        <w:t xml:space="preserve"> to our Consolidated Financial Statements for additional information..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process of preparing our financial statements, we are required to estimate our federal income taxes as well as income taxes in each of the states in which we operate. This process involves us estimating our actual current tax exposure together with assessing temporary differences resulting from differing treatment of items for income tax and accounting purposes. These differences result in deferred tax assets and liabilities, which are reflected on our Consolidated Balance Sheets. We must then assess the likelihood that our deferred tax assets will be recovered from future taxable income and, to the extent we believe that recovery is not probable, we must establish a valuation allowance. To the extent we establish a valuation allowance or increase this allowance during a period, we must include an expense in the tax provision in the Statement of Operations.</w:t>
      </w:r>
    </w:p>
    <w:p>
      <w:pPr>
        <w:spacing w:after="0" w:line="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Significant management judgment is required in determining our provision for income taxes, our deferred tax assets and liabilities and any valuation allowance recorded against our net deferred tax assets. In this process, we consider all available positive and negative evidence including scheduled reversals of deferred tax liabilities, projected future taxable income, tax planning strategies and recent results of operations. As of December 31, 2025, we have no valuation allowance and fully expect to utilize all of our deferred tax assets.</w:t>
      </w:r>
    </w:p>
    <w:p>
      <w:pPr>
        <w:spacing w:after="0" w:line="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Please see </w:t>
      </w:r>
      <w:r>
        <w:rPr>
          <w:rFonts w:ascii="Times New Roman" w:cs="Times New Roman" w:eastAsia="Times New Roman" w:hAnsi="Times New Roman"/>
          <w:sz w:val="18"/>
          <w:szCs w:val="18"/>
          <w:u w:val="single" w:color="auto"/>
          <w:color w:val="0000FF"/>
        </w:rPr>
        <w:t>Note 11 (“Income Taxes”)</w:t>
      </w:r>
      <w:r>
        <w:rPr>
          <w:rFonts w:ascii="Times New Roman" w:cs="Times New Roman" w:eastAsia="Times New Roman" w:hAnsi="Times New Roman"/>
          <w:sz w:val="18"/>
          <w:szCs w:val="18"/>
          <w:color w:val="auto"/>
        </w:rPr>
        <w:t xml:space="preserve"> for a more thorough discussion of our income taxes.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From time-to-time, we enter into off-balance sheet arrangements and transactions that can give rise to off-balance sheet obligations. As of December 31, 2025, we did not have any material off-balance sheet arrangements.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Please see </w:t>
      </w:r>
      <w:r>
        <w:rPr>
          <w:rFonts w:ascii="Times New Roman" w:cs="Times New Roman" w:eastAsia="Times New Roman" w:hAnsi="Times New Roman"/>
          <w:sz w:val="18"/>
          <w:szCs w:val="18"/>
          <w:u w:val="single" w:color="auto"/>
          <w:color w:val="0000FF"/>
        </w:rPr>
        <w:t>Note 2 (“Summary of Significant Accounting Policies”)</w:t>
      </w:r>
      <w:r>
        <w:rPr>
          <w:rFonts w:ascii="Times New Roman" w:cs="Times New Roman" w:eastAsia="Times New Roman" w:hAnsi="Times New Roman"/>
          <w:sz w:val="18"/>
          <w:szCs w:val="18"/>
          <w:color w:val="auto"/>
        </w:rPr>
        <w:t xml:space="preserve"> to our Consolidated Financial statements for a discussion of recently issued accounting pronouncements.</w:t>
      </w:r>
    </w:p>
    <w:p>
      <w:pPr>
        <w:spacing w:after="0" w:line="1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The principal market risk to which we are exposed is interest rate risk.</w:t>
      </w:r>
    </w:p>
    <w:p>
      <w:pPr>
        <w:spacing w:after="0" w:line="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interest rate risk is attributable to our borrowings under the Credit Facility, which are subject to variable interest rates. As of December 31, 2025, we had borrowings of $230.0 million under the Credit Facility at a weighted average interest rate of 6.59%. Assuming a constant borrowing level under the Credit Facility and excluding any changes in other financial metrics that would impact the applicable margin applied to Credit Facility borrowings, an increase (decrease) in the interest rate of one percent would result in an increase (decrease) in interest expense of $2.3 million on an annual basis.</w:t>
      </w:r>
    </w:p>
    <w:p>
      <w:pPr>
        <w:spacing w:after="0" w:line="1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information required by this Item is presented in </w:t>
      </w:r>
      <w:r>
        <w:rPr>
          <w:rFonts w:ascii="Times New Roman" w:cs="Times New Roman" w:eastAsia="Times New Roman" w:hAnsi="Times New Roman"/>
          <w:sz w:val="18"/>
          <w:szCs w:val="18"/>
          <w:u w:val="single" w:color="auto"/>
          <w:color w:val="0000FF"/>
        </w:rPr>
        <w:t>Part IV, Item 15. “Exhibits and Financial Statement Schedules”</w:t>
      </w:r>
      <w:r>
        <w:rPr>
          <w:rFonts w:ascii="Times New Roman" w:cs="Times New Roman" w:eastAsia="Times New Roman" w:hAnsi="Times New Roman"/>
          <w:sz w:val="18"/>
          <w:szCs w:val="18"/>
          <w:color w:val="auto"/>
        </w:rPr>
        <w:t xml:space="preserve"> of this Annual Report on Form 10-K.</w:t>
      </w:r>
    </w:p>
    <w:p>
      <w:pPr>
        <w:spacing w:after="0" w:line="10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40" w:name="page41"/>
    <w:bookmarkEnd w:id="40"/>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(“CEO”) and Chief Financial Officer (“CFO”), evaluated the effectiveness of our disclosure controls and procedures as of December 31, 2025. We maintain “disclosure controls and procedures,” as defined in Rules 13a-15(e) and 15d-15(e) under the Exchange Act, that are designed to ensure that information required to be disclosed in the reports that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to allow timely decisions regarding required disclosure. Based upon the evaluation, our CEO and CFO concluded that, as of such date, our disclosure controls and procedures were effective to provide reasonable assurance that the information required to be disclosed in reports that we file or submit under the Exchange Act is accumulated and communicated to management, and made known to our CEO and CFO, on a timely basis to ensure that it is recorded, processed, summarized and reported within the time periods specified in the SEC’s rules and forms.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 including the CEO and CFO, is responsible for establishing and maintaining adequate internal control over financial reporting (“ICFR”), as defined in Rule 13a-15(f) and 15d-15(f) under the Exchange Act. Our management conducted an evaluation of the effectiveness of the Company’s internal control over financial reporting as of December 31, 2025, based on the Internal Control – Integrated Framework (2013) issued by the Committee of Sponsoring Organizations of the Treadway Commission (COSO).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Based on the results of management’s evaluation described above, management concluded that our ICFR was effective as of December 31, 2025.</w:t>
      </w:r>
    </w:p>
    <w:p>
      <w:pPr>
        <w:spacing w:after="0" w:line="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Ham, Langston &amp; Brezina LLP, an independent registered public accounting firm, has issued an attestation report on the effectiveness of the Company’s ICFR as of December 31, 2025, which included in </w:t>
      </w:r>
      <w:r>
        <w:rPr>
          <w:rFonts w:ascii="Times New Roman" w:cs="Times New Roman" w:eastAsia="Times New Roman" w:hAnsi="Times New Roman"/>
          <w:sz w:val="18"/>
          <w:szCs w:val="18"/>
          <w:u w:val="single" w:color="auto"/>
          <w:color w:val="0000FF"/>
        </w:rPr>
        <w:t>Part IV, Item 15 “Exhibits and Financial Statement Schedules”</w:t>
      </w:r>
      <w:r>
        <w:rPr>
          <w:rFonts w:ascii="Times New Roman" w:cs="Times New Roman" w:eastAsia="Times New Roman" w:hAnsi="Times New Roman"/>
          <w:sz w:val="18"/>
          <w:szCs w:val="18"/>
          <w:color w:val="auto"/>
        </w:rPr>
        <w:t xml:space="preserve"> of this Annual Report on Form 10-K.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2025, there were no changes in our ICFR that have materially affected, or are reasonably likely to materially affect, our ICFR.</w:t>
      </w:r>
    </w:p>
    <w:p>
      <w:pPr>
        <w:spacing w:after="0" w:line="10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Stephen C. Taylor, a member of the Board of Directors, adopted a Rule 10b5-1 trading agreement that is intended to satisfy the affirmative defense of Rule 10b5-1(c) for the sale of up to an aggregate of 100,000 shares of the Company’s common stock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subject to various volume amounts and price thresholds. The 10b5-1 Plan was entered into during an open insider trading window in December 2025 and sales commenced under the plan after completion of the required cooling off period under Rule 10b5-1.The plan became effective on March 5, 2026 and the aggregate sales were completed by March 6, 2026.</w:t>
      </w:r>
    </w:p>
    <w:p>
      <w:pPr>
        <w:spacing w:after="0" w:line="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 other director or officer of the Company adopted, modified or terminated a “Rule 10b5-1 trading arrangement” or “non-Rule 10b5-1 trading arrangement,” as each term is defined in Item 408(a) of Regulation S-K, during the three months ended December 31, 2025.</w:t>
      </w:r>
    </w:p>
    <w:p>
      <w:pPr>
        <w:spacing w:after="0" w:line="1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DISCLOSURES REGARDING FOREIGN JURISDICTIONS THAT PREVENT INSPECTIONS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“Election of Directors,” “Executive Officers,” “Corporate Governance” and “The Board of Directors and its Committees” in our definitive proxy statement which will be filed with the SEC within 120 days after December 31, 2025, or as such period may be extended by action of the SEC.</w:t>
      </w:r>
    </w:p>
    <w:p>
      <w:pPr>
        <w:spacing w:after="0" w:line="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directors, officers and employees. The Code of Business Conduct and Ethics is posted in the “Investor Relations” section of our website at www.ngsgi.com. The Code of Business Conduct and Ethics may be obtained free of charge by writing before to Natural Gas Services Group, Inc., Attn: Investor Relations, 601 State Street, Suite 400, Southlake, TX 76092.</w:t>
      </w:r>
    </w:p>
    <w:p>
      <w:pPr>
        <w:spacing w:after="0" w:line="1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 “Executive Compensation” in our definitive proxy statement which will be filed with the SEC within 120 days after December 31, 2025, or as such period may be extended by action of the SEC.</w:t>
      </w:r>
    </w:p>
    <w:p>
      <w:pPr>
        <w:spacing w:after="0" w:line="104" w:lineRule="exact"/>
        <w:rPr>
          <w:sz w:val="20"/>
          <w:szCs w:val="20"/>
          <w:color w:val="auto"/>
        </w:rPr>
      </w:pPr>
    </w:p>
    <w:p>
      <w:pPr>
        <w:ind w:left="980" w:right="2720" w:hanging="1295"/>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5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 “Principal Shareholders and Security Ownership of Management” in our definitive proxy statement which will be filed with the SEC within 120 days after December 31, 2025, or as such period may be extended by action of the SEC.</w:t>
      </w:r>
    </w:p>
    <w:p>
      <w:pPr>
        <w:spacing w:after="0" w:line="11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“Related Person Transactions” and “Corporate Governance” in our definitive proxy statement which will be filed with the SEC within 120 days after December 31, 2025, or as such period may be extended by action of the SEC.</w:t>
      </w:r>
    </w:p>
    <w:p>
      <w:pPr>
        <w:spacing w:after="0" w:line="11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 “Principal Accountant Fees and Services” in our definitive proxy statement which will be filed with the SEC within 120 days after December 31, 2025, or as such period may be extended by action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2" w:name="page43"/>
    <w:bookmarkEnd w:id="42"/>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documents are filed as part of this Annual Report on Form 10-K.</w:t>
      </w:r>
    </w:p>
    <w:p>
      <w:pPr>
        <w:spacing w:after="0" w:line="11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The following financial statements are filed as a part of this Annual Report on Form 10-K:</w:t>
      </w:r>
    </w:p>
    <w:p>
      <w:pPr>
        <w:spacing w:after="0" w:line="9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shd w:val="clear" w:color="auto" w:fill="CCEEFF"/>
          </w:tcPr>
          <w:p>
            <w:pPr>
              <w:spacing w:after="0"/>
              <w:rPr>
                <w:sz w:val="17"/>
                <w:szCs w:val="17"/>
                <w:color w:val="auto"/>
              </w:rPr>
            </w:pPr>
          </w:p>
        </w:tc>
        <w:tc>
          <w:tcPr>
            <w:tcW w:w="56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FF"/>
                <w:w w:val="99"/>
              </w:rPr>
              <w:t>Reports of Independent Registered Public Accounting Firm (PCAOB ID 298)</w:t>
            </w:r>
          </w:p>
        </w:tc>
        <w:tc>
          <w:tcPr>
            <w:tcW w:w="1440" w:type="dxa"/>
            <w:vAlign w:val="bottom"/>
            <w:shd w:val="clear" w:color="auto" w:fill="CCEEFF"/>
          </w:tcPr>
          <w:p>
            <w:pPr>
              <w:spacing w:after="0"/>
              <w:rPr>
                <w:sz w:val="17"/>
                <w:szCs w:val="17"/>
                <w:color w:val="auto"/>
              </w:rPr>
            </w:pPr>
          </w:p>
        </w:tc>
        <w:tc>
          <w:tcPr>
            <w:tcW w:w="2540" w:type="dxa"/>
            <w:vAlign w:val="bottom"/>
            <w:gridSpan w:val="3"/>
            <w:shd w:val="clear" w:color="auto" w:fill="CCEEFF"/>
          </w:tcPr>
          <w:p>
            <w:pPr>
              <w:ind w:left="1440"/>
              <w:spacing w:after="0"/>
              <w:rPr>
                <w:sz w:val="20"/>
                <w:szCs w:val="20"/>
                <w:color w:val="auto"/>
              </w:rPr>
            </w:pPr>
            <w:r>
              <w:rPr>
                <w:rFonts w:ascii="Times New Roman" w:cs="Times New Roman" w:eastAsia="Times New Roman" w:hAnsi="Times New Roman"/>
                <w:sz w:val="18"/>
                <w:szCs w:val="18"/>
                <w:color w:val="0000FF"/>
              </w:rPr>
              <w:t>F-1</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6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1440" w:type="dxa"/>
            <w:vAlign w:val="bottom"/>
          </w:tcPr>
          <w:p>
            <w:pPr>
              <w:spacing w:after="0"/>
              <w:rPr>
                <w:sz w:val="16"/>
                <w:szCs w:val="16"/>
                <w:color w:val="auto"/>
              </w:rPr>
            </w:pPr>
          </w:p>
        </w:tc>
        <w:tc>
          <w:tcPr>
            <w:tcW w:w="2540" w:type="dxa"/>
            <w:vAlign w:val="bottom"/>
            <w:gridSpan w:val="3"/>
          </w:tcPr>
          <w:p>
            <w:pPr>
              <w:ind w:left="1440"/>
              <w:spacing w:after="0" w:line="189" w:lineRule="exact"/>
              <w:rPr>
                <w:sz w:val="20"/>
                <w:szCs w:val="20"/>
                <w:color w:val="auto"/>
              </w:rPr>
            </w:pPr>
            <w:r>
              <w:rPr>
                <w:rFonts w:ascii="Times New Roman" w:cs="Times New Roman" w:eastAsia="Times New Roman" w:hAnsi="Times New Roman"/>
                <w:sz w:val="18"/>
                <w:szCs w:val="18"/>
                <w:color w:val="0000FF"/>
              </w:rPr>
              <w:t>F-3</w:t>
            </w:r>
          </w:p>
        </w:tc>
      </w:tr>
      <w:tr>
        <w:trPr>
          <w:trHeight w:val="20"/>
        </w:trPr>
        <w:tc>
          <w:tcPr>
            <w:tcW w:w="20" w:type="dxa"/>
            <w:vAlign w:val="bottom"/>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04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2540" w:type="dxa"/>
            <w:vAlign w:val="bottom"/>
            <w:gridSpan w:val="3"/>
            <w:shd w:val="clear" w:color="auto" w:fill="CCEEFF"/>
          </w:tcPr>
          <w:p>
            <w:pPr>
              <w:ind w:left="1440"/>
              <w:spacing w:after="0" w:line="189" w:lineRule="exact"/>
              <w:rPr>
                <w:sz w:val="20"/>
                <w:szCs w:val="20"/>
                <w:color w:val="auto"/>
              </w:rPr>
            </w:pPr>
            <w:r>
              <w:rPr>
                <w:rFonts w:ascii="Times New Roman" w:cs="Times New Roman" w:eastAsia="Times New Roman" w:hAnsi="Times New Roman"/>
                <w:sz w:val="18"/>
                <w:szCs w:val="18"/>
                <w:color w:val="0000FF"/>
              </w:rPr>
              <w:t>F-4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04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Stockholders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Equity</w:t>
            </w:r>
          </w:p>
        </w:tc>
        <w:tc>
          <w:tcPr>
            <w:tcW w:w="2540" w:type="dxa"/>
            <w:vAlign w:val="bottom"/>
            <w:gridSpan w:val="3"/>
          </w:tcPr>
          <w:p>
            <w:pPr>
              <w:ind w:left="1440"/>
              <w:spacing w:after="0" w:line="189" w:lineRule="exact"/>
              <w:rPr>
                <w:sz w:val="20"/>
                <w:szCs w:val="20"/>
                <w:color w:val="auto"/>
              </w:rPr>
            </w:pPr>
            <w:r>
              <w:rPr>
                <w:rFonts w:ascii="Times New Roman" w:cs="Times New Roman" w:eastAsia="Times New Roman" w:hAnsi="Times New Roman"/>
                <w:sz w:val="18"/>
                <w:szCs w:val="18"/>
                <w:color w:val="0000FF"/>
              </w:rPr>
              <w:t>F-5</w:t>
            </w:r>
          </w:p>
        </w:tc>
      </w:tr>
      <w:tr>
        <w:trPr>
          <w:trHeight w:val="21"/>
        </w:trPr>
        <w:tc>
          <w:tcPr>
            <w:tcW w:w="20" w:type="dxa"/>
            <w:vAlign w:val="bottom"/>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04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2540" w:type="dxa"/>
            <w:vAlign w:val="bottom"/>
            <w:gridSpan w:val="3"/>
            <w:shd w:val="clear" w:color="auto" w:fill="CCEEFF"/>
          </w:tcPr>
          <w:p>
            <w:pPr>
              <w:ind w:left="1440"/>
              <w:spacing w:after="0" w:line="189" w:lineRule="exact"/>
              <w:rPr>
                <w:sz w:val="20"/>
                <w:szCs w:val="20"/>
                <w:color w:val="auto"/>
              </w:rPr>
            </w:pPr>
            <w:r>
              <w:rPr>
                <w:rFonts w:ascii="Times New Roman" w:cs="Times New Roman" w:eastAsia="Times New Roman" w:hAnsi="Times New Roman"/>
                <w:sz w:val="18"/>
                <w:szCs w:val="18"/>
                <w:color w:val="0000FF"/>
              </w:rPr>
              <w:t>F-6</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04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540" w:type="dxa"/>
            <w:vAlign w:val="bottom"/>
            <w:gridSpan w:val="3"/>
          </w:tcPr>
          <w:p>
            <w:pPr>
              <w:ind w:left="1440"/>
              <w:spacing w:after="0" w:line="189" w:lineRule="exact"/>
              <w:rPr>
                <w:sz w:val="20"/>
                <w:szCs w:val="20"/>
                <w:color w:val="auto"/>
              </w:rPr>
            </w:pPr>
            <w:r>
              <w:rPr>
                <w:rFonts w:ascii="Times New Roman" w:cs="Times New Roman" w:eastAsia="Times New Roman" w:hAnsi="Times New Roman"/>
                <w:sz w:val="18"/>
                <w:szCs w:val="18"/>
                <w:color w:val="0000FF"/>
              </w:rPr>
              <w:t>F-7</w:t>
            </w:r>
          </w:p>
        </w:tc>
      </w:tr>
      <w:tr>
        <w:trPr>
          <w:trHeight w:val="20"/>
        </w:trPr>
        <w:tc>
          <w:tcPr>
            <w:tcW w:w="2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09" w:lineRule="exact"/>
        <w:rPr>
          <w:sz w:val="20"/>
          <w:szCs w:val="20"/>
          <w:color w:val="auto"/>
        </w:rPr>
      </w:pPr>
    </w:p>
    <w:p>
      <w:pPr>
        <w:ind w:left="520" w:hanging="188"/>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65"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or the information is set forth in the Consolidated Financial Statements or Notes thereto.</w:t>
      </w:r>
    </w:p>
    <w:p>
      <w:pPr>
        <w:spacing w:after="0" w:line="52" w:lineRule="exact"/>
        <w:rPr>
          <w:sz w:val="20"/>
          <w:szCs w:val="20"/>
          <w:color w:val="auto"/>
        </w:rPr>
      </w:pPr>
    </w:p>
    <w:p>
      <w:pPr>
        <w:ind w:left="520" w:hanging="188"/>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list of exhibits to this Annual Report on Form 10-K is set forth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w:t>
            </w:r>
          </w:p>
        </w:tc>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w:t>
            </w:r>
          </w:p>
        </w:tc>
        <w:tc>
          <w:tcPr>
            <w:tcW w:w="6900" w:type="dxa"/>
            <w:vAlign w:val="bottom"/>
            <w:gridSpan w:val="3"/>
          </w:tcPr>
          <w:p>
            <w:pPr>
              <w:jc w:val="right"/>
              <w:ind w:right="6040"/>
              <w:spacing w:after="0"/>
              <w:rPr>
                <w:sz w:val="20"/>
                <w:szCs w:val="20"/>
                <w:color w:val="auto"/>
              </w:rPr>
            </w:pPr>
            <w:r>
              <w:rPr>
                <w:rFonts w:ascii="Times New Roman" w:cs="Times New Roman" w:eastAsia="Times New Roman" w:hAnsi="Times New Roman"/>
                <w:sz w:val="18"/>
                <w:szCs w:val="18"/>
                <w:color w:val="auto"/>
                <w:w w:val="99"/>
              </w:rPr>
              <w:t>Description</w:t>
            </w:r>
          </w:p>
        </w:tc>
      </w:tr>
      <w:tr>
        <w:trPr>
          <w:trHeight w:val="20"/>
        </w:trPr>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237"/>
        </w:trPr>
        <w:tc>
          <w:tcPr>
            <w:tcW w:w="340" w:type="dxa"/>
            <w:vAlign w:val="bottom"/>
            <w:gridSpan w:val="3"/>
          </w:tcPr>
          <w:p>
            <w:pPr>
              <w:ind w:left="20"/>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280" w:type="dxa"/>
            <w:vAlign w:val="bottom"/>
          </w:tcPr>
          <w:p>
            <w:pPr>
              <w:spacing w:after="0"/>
              <w:rPr>
                <w:sz w:val="20"/>
                <w:szCs w:val="20"/>
                <w:color w:val="auto"/>
              </w:rPr>
            </w:pPr>
          </w:p>
        </w:tc>
        <w:tc>
          <w:tcPr>
            <w:tcW w:w="1062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Articles of Incorporation, as amended (Incorporated by reference to Exhibit 3.1 of the 10-QSB filed with the Securities and Exchange</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20" w:type="dxa"/>
            <w:vAlign w:val="bottom"/>
            <w:gridSpan w:val="2"/>
          </w:tcPr>
          <w:p>
            <w:pPr>
              <w:ind w:left="360"/>
              <w:spacing w:after="0" w:line="205" w:lineRule="exact"/>
              <w:rPr>
                <w:sz w:val="20"/>
                <w:szCs w:val="20"/>
                <w:color w:val="auto"/>
              </w:rPr>
            </w:pPr>
            <w:r>
              <w:rPr>
                <w:rFonts w:ascii="Times New Roman" w:cs="Times New Roman" w:eastAsia="Times New Roman" w:hAnsi="Times New Roman"/>
                <w:sz w:val="18"/>
                <w:szCs w:val="18"/>
                <w:color w:val="auto"/>
              </w:rPr>
              <w:t>Commission and dated November 10, 2004).</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40" w:type="dxa"/>
            <w:vAlign w:val="bottom"/>
          </w:tcPr>
          <w:p>
            <w:pPr>
              <w:spacing w:after="0"/>
              <w:rPr>
                <w:sz w:val="17"/>
                <w:szCs w:val="17"/>
                <w:color w:val="auto"/>
              </w:rPr>
            </w:pPr>
          </w:p>
        </w:tc>
      </w:tr>
      <w:tr>
        <w:trPr>
          <w:trHeight w:val="194"/>
        </w:trPr>
        <w:tc>
          <w:tcPr>
            <w:tcW w:w="340" w:type="dxa"/>
            <w:vAlign w:val="bottom"/>
            <w:gridSpan w:val="3"/>
          </w:tcPr>
          <w:p>
            <w:pPr>
              <w:ind w:left="20"/>
              <w:spacing w:after="0" w:line="194"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280" w:type="dxa"/>
            <w:vAlign w:val="bottom"/>
          </w:tcPr>
          <w:p>
            <w:pPr>
              <w:spacing w:after="0"/>
              <w:rPr>
                <w:sz w:val="16"/>
                <w:szCs w:val="16"/>
                <w:color w:val="auto"/>
              </w:rPr>
            </w:pPr>
          </w:p>
        </w:tc>
        <w:tc>
          <w:tcPr>
            <w:tcW w:w="10620" w:type="dxa"/>
            <w:vAlign w:val="bottom"/>
            <w:gridSpan w:val="5"/>
          </w:tcPr>
          <w:p>
            <w:pPr>
              <w:ind w:left="360"/>
              <w:spacing w:after="0" w:line="194" w:lineRule="exact"/>
              <w:rPr>
                <w:sz w:val="20"/>
                <w:szCs w:val="20"/>
                <w:color w:val="auto"/>
              </w:rPr>
            </w:pPr>
            <w:r>
              <w:rPr>
                <w:rFonts w:ascii="Times New Roman" w:cs="Times New Roman" w:eastAsia="Times New Roman" w:hAnsi="Times New Roman"/>
                <w:sz w:val="18"/>
                <w:szCs w:val="18"/>
                <w:color w:val="auto"/>
              </w:rPr>
              <w:t>Bylaws, as amended (Incorporated by reference to Exhibit 3.1 of the Registrant’s Current Report on Form 8-K filed with the Securities and</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20" w:type="dxa"/>
            <w:vAlign w:val="bottom"/>
            <w:gridSpan w:val="2"/>
          </w:tcPr>
          <w:p>
            <w:pPr>
              <w:ind w:left="360"/>
              <w:spacing w:after="0" w:line="205" w:lineRule="exact"/>
              <w:rPr>
                <w:sz w:val="20"/>
                <w:szCs w:val="20"/>
                <w:color w:val="auto"/>
              </w:rPr>
            </w:pPr>
            <w:r>
              <w:rPr>
                <w:rFonts w:ascii="Times New Roman" w:cs="Times New Roman" w:eastAsia="Times New Roman" w:hAnsi="Times New Roman"/>
                <w:sz w:val="18"/>
                <w:szCs w:val="18"/>
                <w:color w:val="auto"/>
                <w:w w:val="99"/>
              </w:rPr>
              <w:t>Exchange Commission on February 10, 2021).</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40" w:type="dxa"/>
            <w:vAlign w:val="bottom"/>
          </w:tcPr>
          <w:p>
            <w:pPr>
              <w:spacing w:after="0"/>
              <w:rPr>
                <w:sz w:val="17"/>
                <w:szCs w:val="17"/>
                <w:color w:val="auto"/>
              </w:rPr>
            </w:pPr>
          </w:p>
        </w:tc>
      </w:tr>
      <w:tr>
        <w:trPr>
          <w:trHeight w:val="194"/>
        </w:trPr>
        <w:tc>
          <w:tcPr>
            <w:tcW w:w="340" w:type="dxa"/>
            <w:vAlign w:val="bottom"/>
            <w:gridSpan w:val="3"/>
          </w:tcPr>
          <w:p>
            <w:pPr>
              <w:ind w:left="20"/>
              <w:spacing w:after="0" w:line="194"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280" w:type="dxa"/>
            <w:vAlign w:val="bottom"/>
          </w:tcPr>
          <w:p>
            <w:pPr>
              <w:spacing w:after="0"/>
              <w:rPr>
                <w:sz w:val="16"/>
                <w:szCs w:val="16"/>
                <w:color w:val="auto"/>
              </w:rPr>
            </w:pPr>
          </w:p>
        </w:tc>
        <w:tc>
          <w:tcPr>
            <w:tcW w:w="10620" w:type="dxa"/>
            <w:vAlign w:val="bottom"/>
            <w:gridSpan w:val="5"/>
          </w:tcPr>
          <w:p>
            <w:pPr>
              <w:ind w:left="360"/>
              <w:spacing w:after="0" w:line="194" w:lineRule="exact"/>
              <w:rPr>
                <w:sz w:val="20"/>
                <w:szCs w:val="20"/>
                <w:color w:val="auto"/>
              </w:rPr>
            </w:pPr>
            <w:r>
              <w:rPr>
                <w:rFonts w:ascii="Times New Roman" w:cs="Times New Roman" w:eastAsia="Times New Roman" w:hAnsi="Times New Roman"/>
                <w:sz w:val="18"/>
                <w:szCs w:val="18"/>
                <w:color w:val="auto"/>
              </w:rPr>
              <w:t>Description of Securities (Incorporated by reference to the Registrant’s Registration Statement on From 8-A, filed with the Securities and</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20" w:type="dxa"/>
            <w:vAlign w:val="bottom"/>
            <w:gridSpan w:val="2"/>
          </w:tcPr>
          <w:p>
            <w:pPr>
              <w:ind w:left="360"/>
              <w:spacing w:after="0" w:line="205" w:lineRule="exact"/>
              <w:rPr>
                <w:sz w:val="20"/>
                <w:szCs w:val="20"/>
                <w:color w:val="auto"/>
              </w:rPr>
            </w:pPr>
            <w:r>
              <w:rPr>
                <w:rFonts w:ascii="Times New Roman" w:cs="Times New Roman" w:eastAsia="Times New Roman" w:hAnsi="Times New Roman"/>
                <w:sz w:val="18"/>
                <w:szCs w:val="18"/>
                <w:color w:val="auto"/>
              </w:rPr>
              <w:t>Exchange Commission on October 27, 2008).</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40" w:type="dxa"/>
            <w:vAlign w:val="bottom"/>
          </w:tcPr>
          <w:p>
            <w:pPr>
              <w:spacing w:after="0"/>
              <w:rPr>
                <w:sz w:val="17"/>
                <w:szCs w:val="17"/>
                <w:color w:val="auto"/>
              </w:rPr>
            </w:pPr>
          </w:p>
        </w:tc>
      </w:tr>
      <w:tr>
        <w:trPr>
          <w:trHeight w:val="194"/>
        </w:trPr>
        <w:tc>
          <w:tcPr>
            <w:tcW w:w="340" w:type="dxa"/>
            <w:vAlign w:val="bottom"/>
            <w:gridSpan w:val="3"/>
          </w:tcPr>
          <w:p>
            <w:pPr>
              <w:ind w:left="20"/>
              <w:spacing w:after="0" w:line="194"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280" w:type="dxa"/>
            <w:vAlign w:val="bottom"/>
          </w:tcPr>
          <w:p>
            <w:pPr>
              <w:spacing w:after="0"/>
              <w:rPr>
                <w:sz w:val="16"/>
                <w:szCs w:val="16"/>
                <w:color w:val="auto"/>
              </w:rPr>
            </w:pPr>
          </w:p>
        </w:tc>
        <w:tc>
          <w:tcPr>
            <w:tcW w:w="10620" w:type="dxa"/>
            <w:vAlign w:val="bottom"/>
            <w:gridSpan w:val="5"/>
          </w:tcPr>
          <w:p>
            <w:pPr>
              <w:ind w:left="360"/>
              <w:spacing w:after="0" w:line="194" w:lineRule="exact"/>
              <w:rPr>
                <w:sz w:val="20"/>
                <w:szCs w:val="20"/>
                <w:color w:val="auto"/>
              </w:rPr>
            </w:pPr>
            <w:r>
              <w:rPr>
                <w:rFonts w:ascii="Times New Roman" w:cs="Times New Roman" w:eastAsia="Times New Roman" w:hAnsi="Times New Roman"/>
                <w:sz w:val="18"/>
                <w:szCs w:val="18"/>
                <w:color w:val="auto"/>
              </w:rPr>
              <w:t>Form of Senior Indenture (Incorporated by reference to Exhibit 4.2 of the Registrant’s Registration Statement on Form S-3 (No. 333-238794)</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20" w:type="dxa"/>
            <w:vAlign w:val="bottom"/>
            <w:gridSpan w:val="5"/>
          </w:tcPr>
          <w:p>
            <w:pPr>
              <w:ind w:left="360"/>
              <w:spacing w:after="0" w:line="205" w:lineRule="exact"/>
              <w:rPr>
                <w:sz w:val="20"/>
                <w:szCs w:val="20"/>
                <w:color w:val="auto"/>
              </w:rPr>
            </w:pPr>
            <w:r>
              <w:rPr>
                <w:rFonts w:ascii="Times New Roman" w:cs="Times New Roman" w:eastAsia="Times New Roman" w:hAnsi="Times New Roman"/>
                <w:sz w:val="18"/>
                <w:szCs w:val="18"/>
                <w:color w:val="auto"/>
              </w:rPr>
              <w:t>and filed with the Securities and Exchange Commission on December 13, 2024).</w:t>
            </w:r>
          </w:p>
        </w:tc>
      </w:tr>
      <w:tr>
        <w:trPr>
          <w:trHeight w:val="194"/>
        </w:trPr>
        <w:tc>
          <w:tcPr>
            <w:tcW w:w="340" w:type="dxa"/>
            <w:vAlign w:val="bottom"/>
            <w:gridSpan w:val="3"/>
          </w:tcPr>
          <w:p>
            <w:pPr>
              <w:ind w:left="20"/>
              <w:spacing w:after="0" w:line="194"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hyperlink>
          </w:p>
        </w:tc>
        <w:tc>
          <w:tcPr>
            <w:tcW w:w="280" w:type="dxa"/>
            <w:vAlign w:val="bottom"/>
          </w:tcPr>
          <w:p>
            <w:pPr>
              <w:spacing w:after="0"/>
              <w:rPr>
                <w:sz w:val="16"/>
                <w:szCs w:val="16"/>
                <w:color w:val="auto"/>
              </w:rPr>
            </w:pPr>
          </w:p>
        </w:tc>
        <w:tc>
          <w:tcPr>
            <w:tcW w:w="10620" w:type="dxa"/>
            <w:vAlign w:val="bottom"/>
            <w:gridSpan w:val="5"/>
          </w:tcPr>
          <w:p>
            <w:pPr>
              <w:ind w:left="360"/>
              <w:spacing w:after="0" w:line="194" w:lineRule="exact"/>
              <w:rPr>
                <w:sz w:val="20"/>
                <w:szCs w:val="20"/>
                <w:color w:val="auto"/>
              </w:rPr>
            </w:pPr>
            <w:r>
              <w:rPr>
                <w:rFonts w:ascii="Times New Roman" w:cs="Times New Roman" w:eastAsia="Times New Roman" w:hAnsi="Times New Roman"/>
                <w:sz w:val="18"/>
                <w:szCs w:val="18"/>
                <w:color w:val="auto"/>
              </w:rPr>
              <w:t>Form of Subordinated Indenture (Incorporated by reference to Exhibit 4.4 of the Registrant’s Registration Statement on Form S-3 (No. 333-</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20" w:type="dxa"/>
            <w:vAlign w:val="bottom"/>
            <w:gridSpan w:val="5"/>
          </w:tcPr>
          <w:p>
            <w:pPr>
              <w:ind w:left="360"/>
              <w:spacing w:after="0" w:line="205" w:lineRule="exact"/>
              <w:rPr>
                <w:sz w:val="20"/>
                <w:szCs w:val="20"/>
                <w:color w:val="auto"/>
              </w:rPr>
            </w:pPr>
            <w:r>
              <w:rPr>
                <w:rFonts w:ascii="Times New Roman" w:cs="Times New Roman" w:eastAsia="Times New Roman" w:hAnsi="Times New Roman"/>
                <w:sz w:val="18"/>
                <w:szCs w:val="18"/>
                <w:color w:val="auto"/>
              </w:rPr>
              <w:t>238794) and filed with the Securities and Exchange Commission on December 13, 2024).</w:t>
            </w:r>
          </w:p>
        </w:tc>
      </w:tr>
      <w:tr>
        <w:trPr>
          <w:trHeight w:val="194"/>
        </w:trPr>
        <w:tc>
          <w:tcPr>
            <w:tcW w:w="20" w:type="dxa"/>
            <w:vAlign w:val="bottom"/>
          </w:tcPr>
          <w:p>
            <w:pPr>
              <w:spacing w:after="0"/>
              <w:rPr>
                <w:sz w:val="16"/>
                <w:szCs w:val="16"/>
                <w:color w:val="auto"/>
              </w:rPr>
            </w:pPr>
          </w:p>
        </w:tc>
        <w:tc>
          <w:tcPr>
            <w:tcW w:w="600" w:type="dxa"/>
            <w:vAlign w:val="bottom"/>
            <w:gridSpan w:val="3"/>
          </w:tcPr>
          <w:p>
            <w:pPr>
              <w:spacing w:after="0" w:line="194"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r>
              <w:rPr>
                <w:rFonts w:ascii="Times New Roman" w:cs="Times New Roman" w:eastAsia="Times New Roman" w:hAnsi="Times New Roman"/>
                <w:sz w:val="18"/>
                <w:szCs w:val="18"/>
                <w:color w:val="000000"/>
              </w:rPr>
              <w:t>†</w:t>
            </w:r>
          </w:p>
        </w:tc>
        <w:tc>
          <w:tcPr>
            <w:tcW w:w="10620" w:type="dxa"/>
            <w:vAlign w:val="bottom"/>
            <w:gridSpan w:val="5"/>
          </w:tcPr>
          <w:p>
            <w:pPr>
              <w:ind w:left="360"/>
              <w:spacing w:after="0" w:line="194" w:lineRule="exact"/>
              <w:rPr>
                <w:sz w:val="20"/>
                <w:szCs w:val="20"/>
                <w:color w:val="auto"/>
              </w:rPr>
            </w:pPr>
            <w:r>
              <w:rPr>
                <w:rFonts w:ascii="Times New Roman" w:cs="Times New Roman" w:eastAsia="Times New Roman" w:hAnsi="Times New Roman"/>
                <w:sz w:val="18"/>
                <w:szCs w:val="18"/>
                <w:color w:val="auto"/>
              </w:rPr>
              <w:t>2019 Equity Incentive Plan, as amended (Incorporated by reference to Exhibit 4.3 of the Registrant’s Registration Statement on Form S-8</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10620" w:type="dxa"/>
            <w:vAlign w:val="bottom"/>
            <w:gridSpan w:val="5"/>
          </w:tcPr>
          <w:p>
            <w:pPr>
              <w:ind w:left="360"/>
              <w:spacing w:after="0" w:line="205" w:lineRule="exact"/>
              <w:rPr>
                <w:sz w:val="20"/>
                <w:szCs w:val="20"/>
                <w:color w:val="auto"/>
              </w:rPr>
            </w:pPr>
            <w:r>
              <w:rPr>
                <w:rFonts w:ascii="Times New Roman" w:cs="Times New Roman" w:eastAsia="Times New Roman" w:hAnsi="Times New Roman"/>
                <w:sz w:val="18"/>
                <w:szCs w:val="18"/>
                <w:color w:val="auto"/>
              </w:rPr>
              <w:t>filed with the Securities and Exchange Commission on June 16, 2025).</w:t>
            </w:r>
          </w:p>
        </w:tc>
      </w:tr>
      <w:tr>
        <w:trPr>
          <w:trHeight w:val="194"/>
        </w:trPr>
        <w:tc>
          <w:tcPr>
            <w:tcW w:w="20" w:type="dxa"/>
            <w:vAlign w:val="bottom"/>
          </w:tcPr>
          <w:p>
            <w:pPr>
              <w:spacing w:after="0"/>
              <w:rPr>
                <w:sz w:val="16"/>
                <w:szCs w:val="16"/>
                <w:color w:val="auto"/>
              </w:rPr>
            </w:pPr>
          </w:p>
        </w:tc>
        <w:tc>
          <w:tcPr>
            <w:tcW w:w="600" w:type="dxa"/>
            <w:vAlign w:val="bottom"/>
            <w:gridSpan w:val="3"/>
          </w:tcPr>
          <w:p>
            <w:pPr>
              <w:spacing w:after="0" w:line="194"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r>
              <w:rPr>
                <w:rFonts w:ascii="Times New Roman" w:cs="Times New Roman" w:eastAsia="Times New Roman" w:hAnsi="Times New Roman"/>
                <w:sz w:val="18"/>
                <w:szCs w:val="18"/>
                <w:color w:val="000000"/>
              </w:rPr>
              <w:t>†</w:t>
            </w:r>
          </w:p>
        </w:tc>
        <w:tc>
          <w:tcPr>
            <w:tcW w:w="10620" w:type="dxa"/>
            <w:vAlign w:val="bottom"/>
            <w:gridSpan w:val="5"/>
          </w:tcPr>
          <w:p>
            <w:pPr>
              <w:ind w:left="360"/>
              <w:spacing w:after="0" w:line="194" w:lineRule="exact"/>
              <w:rPr>
                <w:sz w:val="20"/>
                <w:szCs w:val="20"/>
                <w:color w:val="auto"/>
              </w:rPr>
            </w:pPr>
            <w:r>
              <w:rPr>
                <w:rFonts w:ascii="Times New Roman" w:cs="Times New Roman" w:eastAsia="Times New Roman" w:hAnsi="Times New Roman"/>
                <w:sz w:val="18"/>
                <w:szCs w:val="18"/>
                <w:color w:val="auto"/>
              </w:rPr>
              <w:t>Stock Option Plan, as amended and restated (Incorporated by reference to Exhibit 10.1 of the Registrant’s Current Report on Form 8-K filed</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10620" w:type="dxa"/>
            <w:vAlign w:val="bottom"/>
            <w:gridSpan w:val="5"/>
          </w:tcPr>
          <w:p>
            <w:pPr>
              <w:ind w:left="360"/>
              <w:spacing w:after="0" w:line="205" w:lineRule="exact"/>
              <w:rPr>
                <w:sz w:val="20"/>
                <w:szCs w:val="20"/>
                <w:color w:val="auto"/>
              </w:rPr>
            </w:pPr>
            <w:r>
              <w:rPr>
                <w:rFonts w:ascii="Times New Roman" w:cs="Times New Roman" w:eastAsia="Times New Roman" w:hAnsi="Times New Roman"/>
                <w:sz w:val="18"/>
                <w:szCs w:val="18"/>
                <w:color w:val="auto"/>
              </w:rPr>
              <w:t>with the Securities and Exchange Commission on June 21, 2016).</w:t>
            </w:r>
          </w:p>
        </w:tc>
      </w:tr>
      <w:tr>
        <w:trPr>
          <w:trHeight w:val="194"/>
        </w:trPr>
        <w:tc>
          <w:tcPr>
            <w:tcW w:w="20" w:type="dxa"/>
            <w:vAlign w:val="bottom"/>
          </w:tcPr>
          <w:p>
            <w:pPr>
              <w:spacing w:after="0"/>
              <w:rPr>
                <w:sz w:val="16"/>
                <w:szCs w:val="16"/>
                <w:color w:val="auto"/>
              </w:rPr>
            </w:pPr>
          </w:p>
        </w:tc>
        <w:tc>
          <w:tcPr>
            <w:tcW w:w="600" w:type="dxa"/>
            <w:vAlign w:val="bottom"/>
            <w:gridSpan w:val="3"/>
          </w:tcPr>
          <w:p>
            <w:pPr>
              <w:spacing w:after="0" w:line="194"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r>
              <w:rPr>
                <w:rFonts w:ascii="Times New Roman" w:cs="Times New Roman" w:eastAsia="Times New Roman" w:hAnsi="Times New Roman"/>
                <w:sz w:val="18"/>
                <w:szCs w:val="18"/>
                <w:color w:val="000000"/>
              </w:rPr>
              <w:t>†</w:t>
            </w:r>
          </w:p>
        </w:tc>
        <w:tc>
          <w:tcPr>
            <w:tcW w:w="10620" w:type="dxa"/>
            <w:vAlign w:val="bottom"/>
            <w:gridSpan w:val="5"/>
          </w:tcPr>
          <w:p>
            <w:pPr>
              <w:ind w:left="360"/>
              <w:spacing w:after="0" w:line="194" w:lineRule="exact"/>
              <w:rPr>
                <w:sz w:val="20"/>
                <w:szCs w:val="20"/>
                <w:color w:val="auto"/>
              </w:rPr>
            </w:pPr>
            <w:r>
              <w:rPr>
                <w:rFonts w:ascii="Times New Roman" w:cs="Times New Roman" w:eastAsia="Times New Roman" w:hAnsi="Times New Roman"/>
                <w:sz w:val="18"/>
                <w:szCs w:val="18"/>
                <w:color w:val="auto"/>
              </w:rPr>
              <w:t>Retirement Agreement dated May 17, 2022 between Natural Gas Services Group, Inc. and Stephen C. Taylor (Incorporated by reference to</w:t>
            </w:r>
          </w:p>
        </w:tc>
      </w:tr>
      <w:tr>
        <w:trPr>
          <w:trHeight w:val="205"/>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10620" w:type="dxa"/>
            <w:vAlign w:val="bottom"/>
            <w:gridSpan w:val="5"/>
          </w:tcPr>
          <w:p>
            <w:pPr>
              <w:ind w:left="360"/>
              <w:spacing w:after="0" w:line="205" w:lineRule="exact"/>
              <w:rPr>
                <w:sz w:val="20"/>
                <w:szCs w:val="20"/>
                <w:color w:val="auto"/>
              </w:rPr>
            </w:pPr>
            <w:r>
              <w:rPr>
                <w:rFonts w:ascii="Times New Roman" w:cs="Times New Roman" w:eastAsia="Times New Roman" w:hAnsi="Times New Roman"/>
                <w:sz w:val="18"/>
                <w:szCs w:val="18"/>
                <w:color w:val="auto"/>
              </w:rPr>
              <w:t>Exhibit 10.1 of the Registrant’s Current Report on Form 8-K filed with the Securities and Exchange Commission on May 19, 2022).</w:t>
            </w:r>
          </w:p>
        </w:tc>
      </w:tr>
      <w:tr>
        <w:trPr>
          <w:trHeight w:val="194"/>
        </w:trPr>
        <w:tc>
          <w:tcPr>
            <w:tcW w:w="20" w:type="dxa"/>
            <w:vAlign w:val="bottom"/>
          </w:tcPr>
          <w:p>
            <w:pPr>
              <w:spacing w:after="0"/>
              <w:rPr>
                <w:sz w:val="16"/>
                <w:szCs w:val="16"/>
                <w:color w:val="auto"/>
              </w:rPr>
            </w:pPr>
          </w:p>
        </w:tc>
        <w:tc>
          <w:tcPr>
            <w:tcW w:w="600" w:type="dxa"/>
            <w:vAlign w:val="bottom"/>
            <w:gridSpan w:val="3"/>
          </w:tcPr>
          <w:p>
            <w:pPr>
              <w:spacing w:after="0" w:line="194"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r>
              <w:rPr>
                <w:rFonts w:ascii="Times New Roman" w:cs="Times New Roman" w:eastAsia="Times New Roman" w:hAnsi="Times New Roman"/>
                <w:sz w:val="18"/>
                <w:szCs w:val="18"/>
                <w:color w:val="000000"/>
              </w:rPr>
              <w:t>†</w:t>
            </w:r>
          </w:p>
        </w:tc>
        <w:tc>
          <w:tcPr>
            <w:tcW w:w="10620" w:type="dxa"/>
            <w:vAlign w:val="bottom"/>
            <w:gridSpan w:val="5"/>
          </w:tcPr>
          <w:p>
            <w:pPr>
              <w:ind w:left="360"/>
              <w:spacing w:after="0" w:line="194" w:lineRule="exact"/>
              <w:rPr>
                <w:sz w:val="20"/>
                <w:szCs w:val="20"/>
                <w:color w:val="auto"/>
              </w:rPr>
            </w:pPr>
            <w:r>
              <w:rPr>
                <w:rFonts w:ascii="Times New Roman" w:cs="Times New Roman" w:eastAsia="Times New Roman" w:hAnsi="Times New Roman"/>
                <w:sz w:val="18"/>
                <w:szCs w:val="18"/>
                <w:color w:val="auto"/>
              </w:rPr>
              <w:t>The Executive Nonqualified Excess Plan Adoption Agreement, referred to as the Nonqualified Deferred Compensation Plan (Incorporated by</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80" w:type="dxa"/>
            <w:vAlign w:val="bottom"/>
          </w:tcPr>
          <w:p>
            <w:pPr>
              <w:spacing w:after="0"/>
              <w:rPr>
                <w:sz w:val="12"/>
                <w:szCs w:val="12"/>
                <w:color w:val="auto"/>
              </w:rPr>
            </w:pPr>
          </w:p>
        </w:tc>
        <w:tc>
          <w:tcPr>
            <w:tcW w:w="10620" w:type="dxa"/>
            <w:vAlign w:val="bottom"/>
            <w:gridSpan w:val="5"/>
          </w:tcPr>
          <w:p>
            <w:pPr>
              <w:ind w:left="360"/>
              <w:spacing w:after="0" w:line="142" w:lineRule="exact"/>
              <w:rPr>
                <w:sz w:val="20"/>
                <w:szCs w:val="20"/>
                <w:color w:val="auto"/>
              </w:rPr>
            </w:pPr>
            <w:r>
              <w:rPr>
                <w:rFonts w:ascii="Times New Roman" w:cs="Times New Roman" w:eastAsia="Times New Roman" w:hAnsi="Times New Roman"/>
                <w:sz w:val="16"/>
                <w:szCs w:val="16"/>
                <w:color w:val="auto"/>
              </w:rPr>
              <w:t>reference to Exhibit 10.11 of the Registrant’s Quarterly report on Form 10-Q filed with the Securities and Exchange Commission on May 6,</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2016).</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40" w:type="dxa"/>
            <w:vAlign w:val="bottom"/>
          </w:tcPr>
          <w:p>
            <w:pPr>
              <w:spacing w:after="0"/>
              <w:rPr>
                <w:sz w:val="20"/>
                <w:szCs w:val="20"/>
                <w:color w:val="auto"/>
              </w:rPr>
            </w:pPr>
          </w:p>
        </w:tc>
      </w:tr>
      <w:tr>
        <w:trPr>
          <w:trHeight w:val="198"/>
        </w:trPr>
        <w:tc>
          <w:tcPr>
            <w:tcW w:w="620" w:type="dxa"/>
            <w:vAlign w:val="bottom"/>
            <w:gridSpan w:val="4"/>
          </w:tcPr>
          <w:p>
            <w:pPr>
              <w:ind w:left="20"/>
              <w:spacing w:after="0" w:line="198"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5</w:t>
              </w:r>
            </w:hyperlink>
          </w:p>
        </w:tc>
        <w:tc>
          <w:tcPr>
            <w:tcW w:w="10620" w:type="dxa"/>
            <w:vAlign w:val="bottom"/>
            <w:gridSpan w:val="5"/>
          </w:tcPr>
          <w:p>
            <w:pPr>
              <w:ind w:left="360"/>
              <w:spacing w:after="0" w:line="198" w:lineRule="exact"/>
              <w:rPr>
                <w:sz w:val="20"/>
                <w:szCs w:val="20"/>
                <w:color w:val="auto"/>
              </w:rPr>
            </w:pPr>
            <w:r>
              <w:rPr>
                <w:rFonts w:ascii="Times New Roman" w:cs="Times New Roman" w:eastAsia="Times New Roman" w:hAnsi="Times New Roman"/>
                <w:sz w:val="18"/>
                <w:szCs w:val="18"/>
                <w:color w:val="auto"/>
              </w:rPr>
              <w:t>Amended and Restated Credit Agreement dated February 28, 2023, among Natural Gas Services Group, Inc., the other Loan Parties thereto,</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80" w:type="dxa"/>
            <w:vAlign w:val="bottom"/>
          </w:tcPr>
          <w:p>
            <w:pPr>
              <w:spacing w:after="0"/>
              <w:rPr>
                <w:sz w:val="12"/>
                <w:szCs w:val="12"/>
                <w:color w:val="auto"/>
              </w:rPr>
            </w:pPr>
          </w:p>
        </w:tc>
        <w:tc>
          <w:tcPr>
            <w:tcW w:w="10620" w:type="dxa"/>
            <w:vAlign w:val="bottom"/>
            <w:gridSpan w:val="5"/>
          </w:tcPr>
          <w:p>
            <w:pPr>
              <w:ind w:left="360"/>
              <w:spacing w:after="0" w:line="142" w:lineRule="exact"/>
              <w:rPr>
                <w:sz w:val="20"/>
                <w:szCs w:val="20"/>
                <w:color w:val="auto"/>
              </w:rPr>
            </w:pPr>
            <w:r>
              <w:rPr>
                <w:rFonts w:ascii="Times New Roman" w:cs="Times New Roman" w:eastAsia="Times New Roman" w:hAnsi="Times New Roman"/>
                <w:sz w:val="16"/>
                <w:szCs w:val="16"/>
                <w:color w:val="auto"/>
              </w:rPr>
              <w:t>Texas Capital Bank, in its capacity as Administrative Agent and the Lenders party thereto (Incorporated by reference to Exhibit 10.1 of the</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2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Registrant’s Current Report on Form 8-K filed with the Securities and Exchange Commission on March 6, 2023).</w:t>
            </w:r>
          </w:p>
        </w:tc>
      </w:tr>
      <w:tr>
        <w:trPr>
          <w:trHeight w:val="198"/>
        </w:trPr>
        <w:tc>
          <w:tcPr>
            <w:tcW w:w="620" w:type="dxa"/>
            <w:vAlign w:val="bottom"/>
            <w:gridSpan w:val="4"/>
          </w:tcPr>
          <w:p>
            <w:pPr>
              <w:ind w:left="20"/>
              <w:spacing w:after="0" w:line="198"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hyperlink>
          </w:p>
        </w:tc>
        <w:tc>
          <w:tcPr>
            <w:tcW w:w="10620" w:type="dxa"/>
            <w:vAlign w:val="bottom"/>
            <w:gridSpan w:val="5"/>
          </w:tcPr>
          <w:p>
            <w:pPr>
              <w:ind w:left="360"/>
              <w:spacing w:after="0" w:line="198" w:lineRule="exact"/>
              <w:rPr>
                <w:sz w:val="20"/>
                <w:szCs w:val="20"/>
                <w:color w:val="auto"/>
              </w:rPr>
            </w:pPr>
            <w:r>
              <w:rPr>
                <w:rFonts w:ascii="Times New Roman" w:cs="Times New Roman" w:eastAsia="Times New Roman" w:hAnsi="Times New Roman"/>
                <w:sz w:val="18"/>
                <w:szCs w:val="18"/>
                <w:color w:val="auto"/>
              </w:rPr>
              <w:t>Amended and Restated Pledge and Security Agreement dated February 28, 2023, among Natural Gas Services Group, Inc., the Grantors</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80" w:type="dxa"/>
            <w:vAlign w:val="bottom"/>
          </w:tcPr>
          <w:p>
            <w:pPr>
              <w:spacing w:after="0"/>
              <w:rPr>
                <w:sz w:val="12"/>
                <w:szCs w:val="12"/>
                <w:color w:val="auto"/>
              </w:rPr>
            </w:pPr>
          </w:p>
        </w:tc>
        <w:tc>
          <w:tcPr>
            <w:tcW w:w="10620" w:type="dxa"/>
            <w:vAlign w:val="bottom"/>
            <w:gridSpan w:val="5"/>
          </w:tcPr>
          <w:p>
            <w:pPr>
              <w:ind w:left="360"/>
              <w:spacing w:after="0" w:line="142" w:lineRule="exact"/>
              <w:rPr>
                <w:sz w:val="20"/>
                <w:szCs w:val="20"/>
                <w:color w:val="auto"/>
              </w:rPr>
            </w:pPr>
            <w:r>
              <w:rPr>
                <w:rFonts w:ascii="Times New Roman" w:cs="Times New Roman" w:eastAsia="Times New Roman" w:hAnsi="Times New Roman"/>
                <w:sz w:val="16"/>
                <w:szCs w:val="16"/>
                <w:color w:val="auto"/>
              </w:rPr>
              <w:t>thereto, Texas Capital Bank, in its capacity as Administrative Agent, for the Lenders and other Secured Parties (Incorporated by reference to</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2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Exhibit 10.2 of the Registrant’s Current Report on Form 8-K filed with the Securities and Exchange Commission on March 6, 2023).</w:t>
            </w:r>
          </w:p>
        </w:tc>
      </w:tr>
      <w:tr>
        <w:trPr>
          <w:trHeight w:val="198"/>
        </w:trPr>
        <w:tc>
          <w:tcPr>
            <w:tcW w:w="620" w:type="dxa"/>
            <w:vAlign w:val="bottom"/>
            <w:gridSpan w:val="4"/>
          </w:tcPr>
          <w:p>
            <w:pPr>
              <w:ind w:left="20"/>
              <w:spacing w:after="0" w:line="198"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7</w:t>
              </w:r>
            </w:hyperlink>
          </w:p>
        </w:tc>
        <w:tc>
          <w:tcPr>
            <w:tcW w:w="10620" w:type="dxa"/>
            <w:vAlign w:val="bottom"/>
            <w:gridSpan w:val="5"/>
          </w:tcPr>
          <w:p>
            <w:pPr>
              <w:ind w:left="360"/>
              <w:spacing w:after="0" w:line="198" w:lineRule="exact"/>
              <w:rPr>
                <w:sz w:val="20"/>
                <w:szCs w:val="20"/>
                <w:color w:val="auto"/>
              </w:rPr>
            </w:pPr>
            <w:r>
              <w:rPr>
                <w:rFonts w:ascii="Times New Roman" w:cs="Times New Roman" w:eastAsia="Times New Roman" w:hAnsi="Times New Roman"/>
                <w:sz w:val="18"/>
                <w:szCs w:val="18"/>
                <w:color w:val="auto"/>
              </w:rPr>
              <w:t>First Amendment to Amended and Restated Credit Agreement dated November 14, 2023, among Natural Gas Services Group, Inc., the other</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80" w:type="dxa"/>
            <w:vAlign w:val="bottom"/>
          </w:tcPr>
          <w:p>
            <w:pPr>
              <w:spacing w:after="0"/>
              <w:rPr>
                <w:sz w:val="12"/>
                <w:szCs w:val="12"/>
                <w:color w:val="auto"/>
              </w:rPr>
            </w:pPr>
          </w:p>
        </w:tc>
        <w:tc>
          <w:tcPr>
            <w:tcW w:w="10620" w:type="dxa"/>
            <w:vAlign w:val="bottom"/>
            <w:gridSpan w:val="5"/>
          </w:tcPr>
          <w:p>
            <w:pPr>
              <w:ind w:left="360"/>
              <w:spacing w:after="0" w:line="142" w:lineRule="exact"/>
              <w:rPr>
                <w:sz w:val="20"/>
                <w:szCs w:val="20"/>
                <w:color w:val="auto"/>
              </w:rPr>
            </w:pPr>
            <w:r>
              <w:rPr>
                <w:rFonts w:ascii="Times New Roman" w:cs="Times New Roman" w:eastAsia="Times New Roman" w:hAnsi="Times New Roman"/>
                <w:sz w:val="16"/>
                <w:szCs w:val="16"/>
                <w:color w:val="auto"/>
              </w:rPr>
              <w:t>Loan Parties thereto, Texas Capital Bank, in its capacity as Administrative Agent and the Lenders party thereto (Incorporated by reference to</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2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Exhibit 10.1 of the Registrant’s Current Report on Form 8-K filed with the Securities and Exchange Commission on November 15, 2023).</w:t>
            </w:r>
          </w:p>
        </w:tc>
      </w:tr>
      <w:tr>
        <w:trPr>
          <w:trHeight w:val="198"/>
        </w:trPr>
        <w:tc>
          <w:tcPr>
            <w:tcW w:w="620" w:type="dxa"/>
            <w:vAlign w:val="bottom"/>
            <w:gridSpan w:val="4"/>
          </w:tcPr>
          <w:p>
            <w:pPr>
              <w:ind w:left="20"/>
              <w:spacing w:after="0" w:line="198"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8</w:t>
              </w:r>
            </w:hyperlink>
          </w:p>
        </w:tc>
        <w:tc>
          <w:tcPr>
            <w:tcW w:w="10620" w:type="dxa"/>
            <w:vAlign w:val="bottom"/>
            <w:gridSpan w:val="5"/>
          </w:tcPr>
          <w:p>
            <w:pPr>
              <w:ind w:left="360"/>
              <w:spacing w:after="0" w:line="198" w:lineRule="exact"/>
              <w:rPr>
                <w:sz w:val="20"/>
                <w:szCs w:val="20"/>
                <w:color w:val="auto"/>
              </w:rPr>
            </w:pPr>
            <w:r>
              <w:rPr>
                <w:rFonts w:ascii="Times New Roman" w:cs="Times New Roman" w:eastAsia="Times New Roman" w:hAnsi="Times New Roman"/>
                <w:sz w:val="18"/>
                <w:szCs w:val="18"/>
                <w:color w:val="auto"/>
              </w:rPr>
              <w:t>Second Amendment to Amended and Restated Credit Agreement dated June 6, 2024, among Natural Gas Services Group, Inc., the other</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80" w:type="dxa"/>
            <w:vAlign w:val="bottom"/>
          </w:tcPr>
          <w:p>
            <w:pPr>
              <w:spacing w:after="0"/>
              <w:rPr>
                <w:sz w:val="12"/>
                <w:szCs w:val="12"/>
                <w:color w:val="auto"/>
              </w:rPr>
            </w:pPr>
          </w:p>
        </w:tc>
        <w:tc>
          <w:tcPr>
            <w:tcW w:w="10620" w:type="dxa"/>
            <w:vAlign w:val="bottom"/>
            <w:gridSpan w:val="5"/>
          </w:tcPr>
          <w:p>
            <w:pPr>
              <w:ind w:left="360"/>
              <w:spacing w:after="0" w:line="142" w:lineRule="exact"/>
              <w:rPr>
                <w:sz w:val="20"/>
                <w:szCs w:val="20"/>
                <w:color w:val="auto"/>
              </w:rPr>
            </w:pPr>
            <w:r>
              <w:rPr>
                <w:rFonts w:ascii="Times New Roman" w:cs="Times New Roman" w:eastAsia="Times New Roman" w:hAnsi="Times New Roman"/>
                <w:sz w:val="16"/>
                <w:szCs w:val="16"/>
                <w:color w:val="auto"/>
              </w:rPr>
              <w:t>Loan Parties thereto, Texas Capital Bank, in its capacity as Administrative Agent and the Lenders party thereto (Incorporated by reference to</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2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Exhibit 10.1 of the Registrant’s Current Report on Form 8-K filed with the Securities and Exchange Commission on June 10, 2024).</w:t>
            </w:r>
          </w:p>
        </w:tc>
      </w:tr>
      <w:tr>
        <w:trPr>
          <w:trHeight w:val="859"/>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900" w:type="dxa"/>
            <w:vAlign w:val="bottom"/>
            <w:gridSpan w:val="3"/>
          </w:tcPr>
          <w:p>
            <w:pPr>
              <w:jc w:val="right"/>
              <w:ind w:right="5520"/>
              <w:spacing w:after="0"/>
              <w:rPr>
                <w:sz w:val="20"/>
                <w:szCs w:val="20"/>
                <w:color w:val="auto"/>
              </w:rPr>
            </w:pPr>
            <w:r>
              <w:rPr>
                <w:rFonts w:ascii="Times New Roman" w:cs="Times New Roman" w:eastAsia="Times New Roman" w:hAnsi="Times New Roman"/>
                <w:sz w:val="18"/>
                <w:szCs w:val="18"/>
                <w:color w:val="auto"/>
              </w:rPr>
              <w:t>39</w:t>
            </w:r>
          </w:p>
        </w:tc>
      </w:tr>
      <w:tr>
        <w:trPr>
          <w:trHeight w:val="115"/>
        </w:trPr>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6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3" w:name="page44"/>
    <w:bookmarkEnd w:id="43"/>
    <w:tbl>
      <w:tblPr>
        <w:tblLayout w:type="fixed"/>
        <w:tblInd w:w="20" w:type="dxa"/>
        <w:tblCellMar>
          <w:top w:w="0" w:type="dxa"/>
          <w:left w:w="0" w:type="dxa"/>
          <w:bottom w:w="0" w:type="dxa"/>
          <w:right w:w="0" w:type="dxa"/>
        </w:tblCellMar>
      </w:tblPr>
      <w:tr>
        <w:trPr>
          <w:trHeight w:val="207"/>
        </w:trPr>
        <w:tc>
          <w:tcPr>
            <w:tcW w:w="420" w:type="dxa"/>
            <w:vAlign w:val="bottom"/>
            <w:gridSpan w:val="2"/>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9</w:t>
              </w:r>
            </w:hyperlink>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Third Amendment to Amended and Restated Credit Agreement dated June 25, 2024, among Natural Gas Services Group, Inc., the other Loan</w:t>
            </w:r>
          </w:p>
        </w:tc>
      </w:tr>
      <w:tr>
        <w:trPr>
          <w:trHeight w:val="151"/>
        </w:trPr>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40" w:type="dxa"/>
            <w:vAlign w:val="bottom"/>
          </w:tcPr>
          <w:p>
            <w:pPr>
              <w:ind w:left="240"/>
              <w:spacing w:after="0" w:line="150" w:lineRule="exact"/>
              <w:rPr>
                <w:sz w:val="20"/>
                <w:szCs w:val="20"/>
                <w:color w:val="auto"/>
              </w:rPr>
            </w:pPr>
            <w:r>
              <w:rPr>
                <w:rFonts w:ascii="Times New Roman" w:cs="Times New Roman" w:eastAsia="Times New Roman" w:hAnsi="Times New Roman"/>
                <w:sz w:val="17"/>
                <w:szCs w:val="17"/>
                <w:color w:val="auto"/>
              </w:rPr>
              <w:t>Parties thereto, Texas Capital Bank, in its capacity as Administrative Agent and the Lenders party thereto (Incorporated by reference to</w:t>
            </w:r>
          </w:p>
        </w:tc>
      </w:tr>
      <w:tr>
        <w:trPr>
          <w:trHeight w:val="229"/>
        </w:trPr>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Exhibit 10.1 of the Registrant’s Current Report on Form 8-K filed with the Securities and Exchange Commission on June 28, 2024).</w:t>
            </w:r>
          </w:p>
        </w:tc>
      </w:tr>
      <w:tr>
        <w:trPr>
          <w:trHeight w:val="194"/>
        </w:trPr>
        <w:tc>
          <w:tcPr>
            <w:tcW w:w="420" w:type="dxa"/>
            <w:vAlign w:val="bottom"/>
            <w:tcBorders>
              <w:bottom w:val="single" w:sz="8" w:color="0000FF"/>
            </w:tcBorders>
            <w:gridSpan w:val="2"/>
          </w:tcPr>
          <w:p>
            <w:pPr>
              <w:spacing w:after="0" w:line="194" w:lineRule="exact"/>
              <w:rPr>
                <w:rFonts w:ascii="Times New Roman" w:cs="Times New Roman" w:eastAsia="Times New Roman" w:hAnsi="Times New Roman"/>
                <w:sz w:val="18"/>
                <w:szCs w:val="18"/>
                <w:color w:val="0000FF"/>
                <w:w w:val="98"/>
              </w:rPr>
            </w:pPr>
            <w:r>
              <w:rPr>
                <w:rFonts w:ascii="Times New Roman" w:cs="Times New Roman" w:eastAsia="Times New Roman" w:hAnsi="Times New Roman"/>
                <w:sz w:val="18"/>
                <w:szCs w:val="18"/>
                <w:color w:val="0000FF"/>
                <w:w w:val="98"/>
              </w:rPr>
              <w:t>10.</w:t>
            </w:r>
            <w:hyperlink r:id="rId72">
              <w:r>
                <w:rPr>
                  <w:rFonts w:ascii="Times New Roman" w:cs="Times New Roman" w:eastAsia="Times New Roman" w:hAnsi="Times New Roman"/>
                  <w:sz w:val="18"/>
                  <w:szCs w:val="18"/>
                  <w:u w:val="single" w:color="auto"/>
                  <w:color w:val="0000FF"/>
                  <w:w w:val="98"/>
                </w:rPr>
                <w:t>10</w:t>
              </w:r>
            </w:hyperlink>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4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Fourth Amendment to Amended and Restated Credit Agreement dated April 18, 2025 among Natural Gas Services Group, Inc. the other</w:t>
            </w:r>
          </w:p>
        </w:tc>
      </w:tr>
      <w:tr>
        <w:trPr>
          <w:trHeight w:val="151"/>
        </w:trPr>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40" w:type="dxa"/>
            <w:vAlign w:val="bottom"/>
          </w:tcPr>
          <w:p>
            <w:pPr>
              <w:ind w:left="240"/>
              <w:spacing w:after="0" w:line="150" w:lineRule="exact"/>
              <w:rPr>
                <w:sz w:val="20"/>
                <w:szCs w:val="20"/>
                <w:color w:val="auto"/>
              </w:rPr>
            </w:pPr>
            <w:r>
              <w:rPr>
                <w:rFonts w:ascii="Times New Roman" w:cs="Times New Roman" w:eastAsia="Times New Roman" w:hAnsi="Times New Roman"/>
                <w:sz w:val="17"/>
                <w:szCs w:val="17"/>
                <w:color w:val="auto"/>
              </w:rPr>
              <w:t>Loan Parties thereto, Texas Capital Bank, in its capacity as Administrative Agent and the Lenders Party thereto (Incorporated by reference to</w:t>
            </w:r>
          </w:p>
        </w:tc>
      </w:tr>
      <w:tr>
        <w:trPr>
          <w:trHeight w:val="230"/>
        </w:trPr>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Exhibit 10.1 of the Registrant’s Quarterly Report on Form 10-Q filed with the Securities and Exchange Commission on August 11, 2025).</w:t>
            </w:r>
          </w:p>
        </w:tc>
      </w:tr>
      <w:tr>
        <w:trPr>
          <w:trHeight w:val="194"/>
        </w:trPr>
        <w:tc>
          <w:tcPr>
            <w:tcW w:w="720" w:type="dxa"/>
            <w:vAlign w:val="bottom"/>
            <w:gridSpan w:val="4"/>
          </w:tcPr>
          <w:p>
            <w:pPr>
              <w:spacing w:after="0" w:line="194"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11†</w:t>
            </w:r>
          </w:p>
        </w:tc>
        <w:tc>
          <w:tcPr>
            <w:tcW w:w="1044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Employment Agreement between Brian L. Tucker and Natural Gas Services Group, Inc. dated October 9, 2023 (Incorporated by reference to</w:t>
            </w:r>
          </w:p>
        </w:tc>
      </w:tr>
      <w:tr>
        <w:trPr>
          <w:trHeight w:val="205"/>
        </w:trPr>
        <w:tc>
          <w:tcPr>
            <w:tcW w:w="3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1044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Exhibit 10.1 of the Registrant’s Current Report on Form 8-K filed with the Securities and Exchange Commission on October 10, 2023).</w:t>
            </w:r>
          </w:p>
        </w:tc>
      </w:tr>
      <w:tr>
        <w:trPr>
          <w:trHeight w:val="194"/>
        </w:trPr>
        <w:tc>
          <w:tcPr>
            <w:tcW w:w="720" w:type="dxa"/>
            <w:vAlign w:val="bottom"/>
            <w:gridSpan w:val="4"/>
          </w:tcPr>
          <w:p>
            <w:pPr>
              <w:spacing w:after="0" w:line="194"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12†</w:t>
            </w:r>
          </w:p>
        </w:tc>
        <w:tc>
          <w:tcPr>
            <w:tcW w:w="1044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Employment Agreement between Justin C. Jacobs and Natural Gas Services Group, Inc. dated January 29, 2024 (Incorporated by reference</w:t>
            </w:r>
          </w:p>
        </w:tc>
      </w:tr>
      <w:tr>
        <w:trPr>
          <w:trHeight w:val="205"/>
        </w:trPr>
        <w:tc>
          <w:tcPr>
            <w:tcW w:w="3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1044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to Exhibit 10.1 of the Registrant’s Current Report on Form 8-K filed with the Securities and Exchange Commission on February 1, 2024).</w:t>
            </w:r>
          </w:p>
        </w:tc>
      </w:tr>
      <w:tr>
        <w:trPr>
          <w:trHeight w:val="194"/>
        </w:trPr>
        <w:tc>
          <w:tcPr>
            <w:tcW w:w="720" w:type="dxa"/>
            <w:vAlign w:val="bottom"/>
            <w:gridSpan w:val="4"/>
          </w:tcPr>
          <w:p>
            <w:pPr>
              <w:spacing w:after="0" w:line="194"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13†</w:t>
            </w:r>
          </w:p>
        </w:tc>
        <w:tc>
          <w:tcPr>
            <w:tcW w:w="1044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w w:val="99"/>
              </w:rPr>
              <w:t>Employee Non-Compete Agreement between Justin C. Jacobs and Natural Gas Services Group, Inc. dated January 29, 2024 (Incorporated by</w:t>
            </w:r>
          </w:p>
        </w:tc>
      </w:tr>
      <w:tr>
        <w:trPr>
          <w:trHeight w:val="151"/>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10440" w:type="dxa"/>
            <w:vAlign w:val="bottom"/>
          </w:tcPr>
          <w:p>
            <w:pPr>
              <w:ind w:left="240"/>
              <w:spacing w:after="0" w:line="150" w:lineRule="exact"/>
              <w:rPr>
                <w:sz w:val="20"/>
                <w:szCs w:val="20"/>
                <w:color w:val="auto"/>
              </w:rPr>
            </w:pPr>
            <w:r>
              <w:rPr>
                <w:rFonts w:ascii="Times New Roman" w:cs="Times New Roman" w:eastAsia="Times New Roman" w:hAnsi="Times New Roman"/>
                <w:sz w:val="17"/>
                <w:szCs w:val="17"/>
                <w:color w:val="auto"/>
              </w:rPr>
              <w:t>reference to Exhibit 10.2 of the Registrant’s Current Report on Form 8-K filed with the Securities and Exchange Commission on February 1,</w:t>
            </w:r>
          </w:p>
        </w:tc>
      </w:tr>
      <w:tr>
        <w:trPr>
          <w:trHeight w:val="229"/>
        </w:trPr>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2024).</w:t>
            </w:r>
          </w:p>
        </w:tc>
      </w:tr>
      <w:tr>
        <w:trPr>
          <w:trHeight w:val="194"/>
        </w:trPr>
        <w:tc>
          <w:tcPr>
            <w:tcW w:w="720" w:type="dxa"/>
            <w:vAlign w:val="bottom"/>
            <w:gridSpan w:val="4"/>
          </w:tcPr>
          <w:p>
            <w:pPr>
              <w:spacing w:after="0" w:line="194"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14†</w:t>
            </w:r>
          </w:p>
        </w:tc>
        <w:tc>
          <w:tcPr>
            <w:tcW w:w="1044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Employee Proprietary Rights Agreement between Justin C. Jacobs and Natural Gas Services Group, Inc. dated January 29, 2024</w:t>
            </w:r>
          </w:p>
        </w:tc>
      </w:tr>
      <w:tr>
        <w:trPr>
          <w:trHeight w:val="151"/>
        </w:trPr>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10440" w:type="dxa"/>
            <w:vAlign w:val="bottom"/>
          </w:tcPr>
          <w:p>
            <w:pPr>
              <w:ind w:left="240"/>
              <w:spacing w:after="0" w:line="150" w:lineRule="exact"/>
              <w:rPr>
                <w:sz w:val="20"/>
                <w:szCs w:val="20"/>
                <w:color w:val="auto"/>
              </w:rPr>
            </w:pPr>
            <w:r>
              <w:rPr>
                <w:rFonts w:ascii="Times New Roman" w:cs="Times New Roman" w:eastAsia="Times New Roman" w:hAnsi="Times New Roman"/>
                <w:sz w:val="17"/>
                <w:szCs w:val="17"/>
                <w:color w:val="auto"/>
              </w:rPr>
              <w:t>(Incorporated by reference to Exhibit 10.2 of the Registrant’s Current Report on Form 8-K filed with the Securities and Exchange</w:t>
            </w:r>
          </w:p>
        </w:tc>
      </w:tr>
      <w:tr>
        <w:trPr>
          <w:trHeight w:val="230"/>
        </w:trPr>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Commission on February 1, 2024).</w:t>
            </w:r>
          </w:p>
        </w:tc>
      </w:tr>
      <w:tr>
        <w:trPr>
          <w:trHeight w:val="194"/>
        </w:trPr>
        <w:tc>
          <w:tcPr>
            <w:tcW w:w="720" w:type="dxa"/>
            <w:vAlign w:val="bottom"/>
            <w:gridSpan w:val="4"/>
          </w:tcPr>
          <w:p>
            <w:pPr>
              <w:spacing w:after="0" w:line="194"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r>
              <w:rPr>
                <w:rFonts w:ascii="Times New Roman" w:cs="Times New Roman" w:eastAsia="Times New Roman" w:hAnsi="Times New Roman"/>
                <w:sz w:val="18"/>
                <w:szCs w:val="18"/>
                <w:color w:val="000000"/>
              </w:rPr>
              <w:t>5†</w:t>
            </w:r>
          </w:p>
        </w:tc>
        <w:tc>
          <w:tcPr>
            <w:tcW w:w="1044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Form of Restricted Stock Unit Award under the Natural Gas Services Group, Inc. 2019 Equity Incentive Plan, as amended (Incorporated by</w:t>
            </w:r>
          </w:p>
        </w:tc>
      </w:tr>
      <w:tr>
        <w:trPr>
          <w:trHeight w:val="151"/>
        </w:trPr>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40" w:type="dxa"/>
            <w:vAlign w:val="bottom"/>
          </w:tcPr>
          <w:p>
            <w:pPr>
              <w:ind w:left="240"/>
              <w:spacing w:after="0" w:line="150" w:lineRule="exact"/>
              <w:rPr>
                <w:sz w:val="20"/>
                <w:szCs w:val="20"/>
                <w:color w:val="auto"/>
              </w:rPr>
            </w:pPr>
            <w:r>
              <w:rPr>
                <w:rFonts w:ascii="Times New Roman" w:cs="Times New Roman" w:eastAsia="Times New Roman" w:hAnsi="Times New Roman"/>
                <w:sz w:val="17"/>
                <w:szCs w:val="17"/>
                <w:color w:val="auto"/>
              </w:rPr>
              <w:t>reference to Exhibit 10.12 of the Registrant’s Annual Report on Form 10-K filed with the Securities and Exchange Commission on April 1,</w:t>
            </w:r>
          </w:p>
        </w:tc>
      </w:tr>
      <w:tr>
        <w:trPr>
          <w:trHeight w:val="229"/>
        </w:trPr>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2024).</w:t>
            </w:r>
          </w:p>
        </w:tc>
      </w:tr>
      <w:tr>
        <w:trPr>
          <w:trHeight w:val="194"/>
        </w:trPr>
        <w:tc>
          <w:tcPr>
            <w:tcW w:w="720" w:type="dxa"/>
            <w:vAlign w:val="bottom"/>
            <w:gridSpan w:val="4"/>
          </w:tcPr>
          <w:p>
            <w:pPr>
              <w:spacing w:after="0" w:line="194"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r>
              <w:rPr>
                <w:rFonts w:ascii="Times New Roman" w:cs="Times New Roman" w:eastAsia="Times New Roman" w:hAnsi="Times New Roman"/>
                <w:sz w:val="18"/>
                <w:szCs w:val="18"/>
                <w:color w:val="000000"/>
              </w:rPr>
              <w:t>6†</w:t>
            </w:r>
          </w:p>
        </w:tc>
        <w:tc>
          <w:tcPr>
            <w:tcW w:w="1044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Form of Performance Stock Unit Award under the Natural Gas Services Group, Inc. 2019 Equity Incentive Plan, as amended (Incorporated</w:t>
            </w:r>
          </w:p>
        </w:tc>
      </w:tr>
      <w:tr>
        <w:trPr>
          <w:trHeight w:val="151"/>
        </w:trPr>
        <w:tc>
          <w:tcPr>
            <w:tcW w:w="3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40" w:type="dxa"/>
            <w:vAlign w:val="bottom"/>
          </w:tcPr>
          <w:p>
            <w:pPr>
              <w:ind w:left="240"/>
              <w:spacing w:after="0" w:line="150" w:lineRule="exact"/>
              <w:rPr>
                <w:sz w:val="20"/>
                <w:szCs w:val="20"/>
                <w:color w:val="auto"/>
              </w:rPr>
            </w:pPr>
            <w:r>
              <w:rPr>
                <w:rFonts w:ascii="Times New Roman" w:cs="Times New Roman" w:eastAsia="Times New Roman" w:hAnsi="Times New Roman"/>
                <w:sz w:val="17"/>
                <w:szCs w:val="17"/>
                <w:color w:val="auto"/>
              </w:rPr>
              <w:t>by reference to Exhibit 10.13 of the Registrant’s Annual Report on Form 10-K filed with the Securities and Exchange Commission on April</w:t>
            </w:r>
          </w:p>
        </w:tc>
      </w:tr>
      <w:tr>
        <w:trPr>
          <w:trHeight w:val="229"/>
        </w:trPr>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 2024).</w:t>
            </w:r>
          </w:p>
        </w:tc>
      </w:tr>
      <w:tr>
        <w:trPr>
          <w:trHeight w:val="194"/>
        </w:trPr>
        <w:tc>
          <w:tcPr>
            <w:tcW w:w="720" w:type="dxa"/>
            <w:vAlign w:val="bottom"/>
            <w:gridSpan w:val="4"/>
          </w:tcPr>
          <w:p>
            <w:pPr>
              <w:spacing w:after="0" w:line="194"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r>
              <w:rPr>
                <w:rFonts w:ascii="Times New Roman" w:cs="Times New Roman" w:eastAsia="Times New Roman" w:hAnsi="Times New Roman"/>
                <w:sz w:val="18"/>
                <w:szCs w:val="18"/>
                <w:color w:val="000000"/>
              </w:rPr>
              <w:t>7†</w:t>
            </w:r>
          </w:p>
        </w:tc>
        <w:tc>
          <w:tcPr>
            <w:tcW w:w="1044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Employment Agreement between Ian M. Eckert and Natural Gas Services Group, Inc. dated November 1, 2024 (Incorporated by reference to</w:t>
            </w:r>
          </w:p>
        </w:tc>
      </w:tr>
      <w:tr>
        <w:trPr>
          <w:trHeight w:val="205"/>
        </w:trPr>
        <w:tc>
          <w:tcPr>
            <w:tcW w:w="3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4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Exhibit 10.1 of the Registrant’s Current Report on Form 8-K filed with the Securities and Exchange Commission on November 7, 2024).</w:t>
            </w:r>
          </w:p>
        </w:tc>
      </w:tr>
      <w:tr>
        <w:trPr>
          <w:trHeight w:val="194"/>
        </w:trPr>
        <w:tc>
          <w:tcPr>
            <w:tcW w:w="500" w:type="dxa"/>
            <w:vAlign w:val="bottom"/>
            <w:gridSpan w:val="3"/>
          </w:tcPr>
          <w:p>
            <w:pPr>
              <w:spacing w:after="0" w:line="194"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18</w:t>
              </w:r>
            </w:hyperlink>
          </w:p>
        </w:tc>
        <w:tc>
          <w:tcPr>
            <w:tcW w:w="220" w:type="dxa"/>
            <w:vAlign w:val="bottom"/>
          </w:tcPr>
          <w:p>
            <w:pPr>
              <w:spacing w:after="0"/>
              <w:rPr>
                <w:sz w:val="16"/>
                <w:szCs w:val="16"/>
                <w:color w:val="auto"/>
              </w:rPr>
            </w:pPr>
          </w:p>
        </w:tc>
        <w:tc>
          <w:tcPr>
            <w:tcW w:w="1044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Form of Indemnification Agreement by and between Natural Gas Services Group, Inc. and Certain Indemnitees (incorporated by reference to</w:t>
            </w:r>
          </w:p>
        </w:tc>
      </w:tr>
      <w:tr>
        <w:trPr>
          <w:trHeight w:val="205"/>
        </w:trPr>
        <w:tc>
          <w:tcPr>
            <w:tcW w:w="3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4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Exhibit 10.2 of the Registrant’s Quarterly Report on Form 10-Q filed with the Securities and Exchange Commission on May 12, 2025).</w:t>
            </w:r>
          </w:p>
        </w:tc>
      </w:tr>
      <w:tr>
        <w:trPr>
          <w:trHeight w:val="194"/>
        </w:trPr>
        <w:tc>
          <w:tcPr>
            <w:tcW w:w="720" w:type="dxa"/>
            <w:vAlign w:val="bottom"/>
            <w:gridSpan w:val="4"/>
          </w:tcPr>
          <w:p>
            <w:pPr>
              <w:spacing w:after="0" w:line="194"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19</w:t>
              </w:r>
            </w:hyperlink>
            <w:r>
              <w:rPr>
                <w:rFonts w:ascii="Times New Roman" w:cs="Times New Roman" w:eastAsia="Times New Roman" w:hAnsi="Times New Roman"/>
                <w:sz w:val="18"/>
                <w:szCs w:val="18"/>
                <w:color w:val="000000"/>
              </w:rPr>
              <w:t>†</w:t>
            </w:r>
          </w:p>
        </w:tc>
        <w:tc>
          <w:tcPr>
            <w:tcW w:w="1044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Transition and Mutual Separation Agreement between Natural Gas Services Group, Inc. and Brian L. Tucker dated August 8, 2025</w:t>
            </w:r>
          </w:p>
        </w:tc>
      </w:tr>
      <w:tr>
        <w:trPr>
          <w:trHeight w:val="171"/>
        </w:trPr>
        <w:tc>
          <w:tcPr>
            <w:tcW w:w="3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40" w:type="dxa"/>
            <w:vAlign w:val="bottom"/>
          </w:tcPr>
          <w:p>
            <w:pPr>
              <w:ind w:left="240"/>
              <w:spacing w:after="0" w:line="170" w:lineRule="exact"/>
              <w:rPr>
                <w:sz w:val="20"/>
                <w:szCs w:val="20"/>
                <w:color w:val="auto"/>
              </w:rPr>
            </w:pPr>
            <w:r>
              <w:rPr>
                <w:rFonts w:ascii="Times New Roman" w:cs="Times New Roman" w:eastAsia="Times New Roman" w:hAnsi="Times New Roman"/>
                <w:sz w:val="18"/>
                <w:szCs w:val="18"/>
                <w:color w:val="auto"/>
              </w:rPr>
              <w:t>(incorporated by reference to Exhibit 10.1 of the Registrant’s Current Report on Form 8-K filed with the Securities and Exchange</w:t>
            </w:r>
          </w:p>
        </w:tc>
      </w:tr>
    </w:tbl>
    <w:p>
      <w:pPr>
        <w:ind w:left="980"/>
        <w:spacing w:after="0"/>
        <w:rPr>
          <w:sz w:val="20"/>
          <w:szCs w:val="20"/>
          <w:color w:val="auto"/>
        </w:rPr>
      </w:pPr>
      <w:r>
        <w:rPr>
          <w:rFonts w:ascii="Times New Roman" w:cs="Times New Roman" w:eastAsia="Times New Roman" w:hAnsi="Times New Roman"/>
          <w:sz w:val="18"/>
          <w:szCs w:val="18"/>
          <w:color w:val="auto"/>
        </w:rPr>
        <w:t>Commission on August 11, 2025).</w:t>
      </w:r>
    </w:p>
    <w:p>
      <w:pPr>
        <w:spacing w:after="0" w:line="7" w:lineRule="exact"/>
        <w:rPr>
          <w:sz w:val="20"/>
          <w:szCs w:val="20"/>
          <w:color w:val="auto"/>
        </w:rPr>
      </w:pPr>
    </w:p>
    <w:p>
      <w:pPr>
        <w:ind w:left="980" w:right="260" w:hanging="954"/>
        <w:spacing w:after="0" w:line="183" w:lineRule="auto"/>
        <w:tabs>
          <w:tab w:leader="none" w:pos="980" w:val="left"/>
        </w:tabs>
        <w:numPr>
          <w:ilvl w:val="0"/>
          <w:numId w:val="23"/>
        </w:numPr>
        <w:rPr>
          <w:rFonts w:ascii="Times New Roman" w:cs="Times New Roman" w:eastAsia="Times New Roman" w:hAnsi="Times New Roman"/>
          <w:sz w:val="30"/>
          <w:szCs w:val="30"/>
          <w:u w:val="single" w:color="auto"/>
          <w:color w:val="0000FF"/>
          <w:vertAlign w:val="subscript"/>
        </w:rPr>
      </w:pPr>
      <w:r>
        <w:rPr>
          <w:rFonts w:ascii="Times New Roman" w:cs="Times New Roman" w:eastAsia="Times New Roman" w:hAnsi="Times New Roman"/>
          <w:sz w:val="16"/>
          <w:szCs w:val="16"/>
          <w:color w:val="auto"/>
        </w:rPr>
        <w:t>Amended and Restated Insider Trading Policy (incorporated by reference to Exhibit 10.2 of the Registrant’s Annual Report on Form 10-K filed with the Securities and Exchange Commission on March 17, 2025).</w:t>
      </w:r>
    </w:p>
    <w:tbl>
      <w:tblPr>
        <w:tblLayout w:type="fixed"/>
        <w:tblInd w:w="20" w:type="dxa"/>
        <w:tblCellMar>
          <w:top w:w="0" w:type="dxa"/>
          <w:left w:w="0" w:type="dxa"/>
          <w:bottom w:w="0" w:type="dxa"/>
          <w:right w:w="0" w:type="dxa"/>
        </w:tblCellMar>
      </w:tblPr>
      <w:tr>
        <w:trPr>
          <w:trHeight w:val="204"/>
        </w:trPr>
        <w:tc>
          <w:tcPr>
            <w:tcW w:w="820" w:type="dxa"/>
            <w:vAlign w:val="bottom"/>
            <w:gridSpan w:val="2"/>
          </w:tcPr>
          <w:p>
            <w:pPr>
              <w:spacing w:after="0" w:line="204" w:lineRule="exact"/>
              <w:rPr>
                <w:sz w:val="20"/>
                <w:szCs w:val="20"/>
                <w:color w:val="auto"/>
              </w:rPr>
            </w:pPr>
            <w:r>
              <w:rPr>
                <w:rFonts w:ascii="Times New Roman" w:cs="Times New Roman" w:eastAsia="Times New Roman" w:hAnsi="Times New Roman"/>
                <w:sz w:val="18"/>
                <w:szCs w:val="18"/>
                <w:color w:val="0000FF"/>
              </w:rPr>
              <w:t>21.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10280" w:type="dxa"/>
            <w:vAlign w:val="bottom"/>
          </w:tcPr>
          <w:p>
            <w:pPr>
              <w:ind w:left="140"/>
              <w:spacing w:after="0" w:line="204" w:lineRule="exact"/>
              <w:rPr>
                <w:sz w:val="20"/>
                <w:szCs w:val="20"/>
                <w:color w:val="auto"/>
              </w:rPr>
            </w:pPr>
            <w:r>
              <w:rPr>
                <w:rFonts w:ascii="Times New Roman" w:cs="Times New Roman" w:eastAsia="Times New Roman" w:hAnsi="Times New Roman"/>
                <w:sz w:val="18"/>
                <w:szCs w:val="18"/>
                <w:color w:val="auto"/>
              </w:rPr>
              <w:t>Subsidiaries of the Registrant.</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10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Consent of Ham, Langston &amp; Brezina L.L.P.</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10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10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Certification of Principal Accounting Officer pursuant to Section 302 of the Sarbanes-Oxley Act of 2002.</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10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10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Certification of Principal Accounting Officer pursuant to Section 906 of the Sarbanes-Oxley Act of 2002.</w:t>
            </w:r>
          </w:p>
        </w:tc>
        <w:tc>
          <w:tcPr>
            <w:tcW w:w="0" w:type="dxa"/>
            <w:vAlign w:val="bottom"/>
          </w:tcPr>
          <w:p>
            <w:pPr>
              <w:spacing w:after="0"/>
              <w:rPr>
                <w:sz w:val="1"/>
                <w:szCs w:val="1"/>
                <w:color w:val="auto"/>
              </w:rPr>
            </w:pPr>
          </w:p>
        </w:tc>
      </w:tr>
      <w:tr>
        <w:trPr>
          <w:trHeight w:val="196"/>
        </w:trPr>
        <w:tc>
          <w:tcPr>
            <w:tcW w:w="320" w:type="dxa"/>
            <w:vAlign w:val="bottom"/>
            <w:tcBorders>
              <w:top w:val="single" w:sz="8" w:color="0000FF"/>
            </w:tcBorders>
            <w:vMerge w:val="restart"/>
          </w:tcPr>
          <w:p>
            <w:pPr>
              <w:spacing w:after="0"/>
              <w:rPr>
                <w:rFonts w:ascii="Times New Roman" w:cs="Times New Roman" w:eastAsia="Times New Roman" w:hAnsi="Times New Roman"/>
                <w:sz w:val="18"/>
                <w:szCs w:val="18"/>
                <w:color w:val="0000FF"/>
                <w:w w:val="95"/>
              </w:rPr>
            </w:pPr>
            <w:hyperlink r:id="rId82">
              <w:r>
                <w:rPr>
                  <w:rFonts w:ascii="Times New Roman" w:cs="Times New Roman" w:eastAsia="Times New Roman" w:hAnsi="Times New Roman"/>
                  <w:sz w:val="18"/>
                  <w:szCs w:val="18"/>
                  <w:color w:val="0000FF"/>
                  <w:w w:val="95"/>
                </w:rPr>
                <w:t>97.</w:t>
              </w:r>
              <w:r>
                <w:rPr>
                  <w:rFonts w:ascii="Times New Roman" w:cs="Times New Roman" w:eastAsia="Times New Roman" w:hAnsi="Times New Roman"/>
                  <w:sz w:val="18"/>
                  <w:szCs w:val="18"/>
                  <w:u w:val="single" w:color="auto"/>
                  <w:color w:val="0000FF"/>
                  <w:w w:val="95"/>
                </w:rPr>
                <w:t>1</w:t>
              </w:r>
            </w:hyperlink>
          </w:p>
        </w:tc>
        <w:tc>
          <w:tcPr>
            <w:tcW w:w="500" w:type="dxa"/>
            <w:vAlign w:val="bottom"/>
          </w:tcPr>
          <w:p>
            <w:pPr>
              <w:spacing w:after="0"/>
              <w:rPr>
                <w:sz w:val="17"/>
                <w:szCs w:val="17"/>
                <w:color w:val="auto"/>
              </w:rPr>
            </w:pPr>
          </w:p>
        </w:tc>
        <w:tc>
          <w:tcPr>
            <w:tcW w:w="1028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w w:val="99"/>
              </w:rPr>
              <w:t>Natural Gas Services Group, Inc. Clawback Policy (Incorporated by reference to Exhibit 97.1 of the Registrant’s Annual Report on Form 10-</w:t>
            </w:r>
          </w:p>
        </w:tc>
        <w:tc>
          <w:tcPr>
            <w:tcW w:w="0" w:type="dxa"/>
            <w:vAlign w:val="bottom"/>
          </w:tcPr>
          <w:p>
            <w:pPr>
              <w:spacing w:after="0"/>
              <w:rPr>
                <w:sz w:val="1"/>
                <w:szCs w:val="1"/>
                <w:color w:val="auto"/>
              </w:rPr>
            </w:pPr>
          </w:p>
        </w:tc>
      </w:tr>
      <w:tr>
        <w:trPr>
          <w:trHeight w:val="113"/>
        </w:trPr>
        <w:tc>
          <w:tcPr>
            <w:tcW w:w="320" w:type="dxa"/>
            <w:vAlign w:val="bottom"/>
            <w:tcBorders>
              <w:bottom w:val="single" w:sz="8" w:color="0000FF"/>
            </w:tcBorders>
            <w:vMerge w:val="continue"/>
          </w:tcPr>
          <w:p>
            <w:pPr>
              <w:spacing w:after="0"/>
              <w:rPr>
                <w:sz w:val="9"/>
                <w:szCs w:val="9"/>
                <w:color w:val="auto"/>
              </w:rPr>
            </w:pPr>
          </w:p>
        </w:tc>
        <w:tc>
          <w:tcPr>
            <w:tcW w:w="500" w:type="dxa"/>
            <w:vAlign w:val="bottom"/>
          </w:tcPr>
          <w:p>
            <w:pPr>
              <w:spacing w:after="0"/>
              <w:rPr>
                <w:sz w:val="9"/>
                <w:szCs w:val="9"/>
                <w:color w:val="auto"/>
              </w:rPr>
            </w:pPr>
          </w:p>
        </w:tc>
        <w:tc>
          <w:tcPr>
            <w:tcW w:w="102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K filed with the Securities and Exchange Commission on April 1, 2024).</w:t>
            </w:r>
          </w:p>
        </w:tc>
        <w:tc>
          <w:tcPr>
            <w:tcW w:w="0" w:type="dxa"/>
            <w:vAlign w:val="bottom"/>
          </w:tcPr>
          <w:p>
            <w:pPr>
              <w:spacing w:after="0"/>
              <w:rPr>
                <w:sz w:val="1"/>
                <w:szCs w:val="1"/>
                <w:color w:val="auto"/>
              </w:rPr>
            </w:pPr>
          </w:p>
        </w:tc>
      </w:tr>
      <w:tr>
        <w:trPr>
          <w:trHeight w:val="106"/>
        </w:trPr>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30"/>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30"/>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29"/>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34"/>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 Management contract or compensatory plan or arrangement.</w:t>
      </w:r>
    </w:p>
    <w:p>
      <w:pPr>
        <w:spacing w:after="0" w:line="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 Filed herewith.</w:t>
      </w:r>
    </w:p>
    <w:p>
      <w:pPr>
        <w:spacing w:after="0" w:line="36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18" w:right="39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64" w:lineRule="exact"/>
        <w:rPr>
          <w:sz w:val="20"/>
          <w:szCs w:val="20"/>
          <w:color w:val="auto"/>
        </w:rPr>
      </w:pPr>
    </w:p>
    <w:p>
      <w:pPr>
        <w:jc w:val="both"/>
        <w:ind w:firstLine="8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0"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NATURAL GAS SERVICES GROUP, INC.</w:t>
      </w:r>
    </w:p>
    <w:p>
      <w:pPr>
        <w:spacing w:after="0" w:line="256" w:lineRule="exact"/>
        <w:rPr>
          <w:sz w:val="20"/>
          <w:szCs w:val="20"/>
          <w:color w:val="auto"/>
        </w:rPr>
      </w:pPr>
    </w:p>
    <w:p>
      <w:pPr>
        <w:ind w:left="20"/>
        <w:spacing w:after="0"/>
        <w:tabs>
          <w:tab w:leader="none" w:pos="6000" w:val="left"/>
          <w:tab w:leader="none" w:pos="6480" w:val="left"/>
        </w:tabs>
        <w:rPr>
          <w:sz w:val="20"/>
          <w:szCs w:val="20"/>
          <w:color w:val="auto"/>
        </w:rPr>
      </w:pPr>
      <w:r>
        <w:rPr>
          <w:rFonts w:ascii="Times New Roman" w:cs="Times New Roman" w:eastAsia="Times New Roman" w:hAnsi="Times New Roman"/>
          <w:sz w:val="18"/>
          <w:szCs w:val="18"/>
          <w:color w:val="auto"/>
        </w:rPr>
        <w:t>March 16, 2026</w:t>
      </w:r>
      <w:r>
        <w:rPr>
          <w:sz w:val="20"/>
          <w:szCs w:val="20"/>
          <w:color w:val="auto"/>
        </w:rPr>
        <w:tab/>
      </w:r>
      <w:r>
        <w:rPr>
          <w:rFonts w:ascii="Times New Roman" w:cs="Times New Roman" w:eastAsia="Times New Roman" w:hAnsi="Times New Roman"/>
          <w:sz w:val="18"/>
          <w:szCs w:val="18"/>
          <w:color w:val="auto"/>
        </w:rPr>
        <w:t>By:</w:t>
        <w:tab/>
        <w:t>/s/ Justin C.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17145</wp:posOffset>
            </wp:positionV>
            <wp:extent cx="298323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4">
                      <a:extLst>
                        <a:ext uri="{28A0092B-C50C-407E-A947-70E740481C1C}"/>
                      </a:extLst>
                    </a:blip>
                    <a:srcRect/>
                    <a:stretch>
                      <a:fillRect/>
                    </a:stretch>
                  </pic:blipFill>
                  <pic:spPr bwMode="auto">
                    <a:xfrm>
                      <a:off x="0" y="0"/>
                      <a:ext cx="2983230" cy="17145"/>
                    </a:xfrm>
                    <a:prstGeom prst="rect">
                      <a:avLst/>
                    </a:prstGeom>
                    <a:noFill/>
                  </pic:spPr>
                </pic:pic>
              </a:graphicData>
            </a:graphic>
          </wp:anchor>
        </w:drawing>
      </w:r>
    </w:p>
    <w:p>
      <w:pPr>
        <w:spacing w:after="0" w:line="30"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Justin C. Jacobs</w:t>
      </w:r>
    </w:p>
    <w:p>
      <w:pPr>
        <w:spacing w:after="0" w:line="2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KNOW ALL PERSONS BY THESE PRESENTS, </w:t>
      </w:r>
      <w:r>
        <w:rPr>
          <w:rFonts w:ascii="Times New Roman" w:cs="Times New Roman" w:eastAsia="Times New Roman" w:hAnsi="Times New Roman"/>
          <w:sz w:val="18"/>
          <w:szCs w:val="18"/>
          <w:color w:val="auto"/>
        </w:rPr>
        <w:t>that each person whose signature appears below constitutes and appoints Justin C. Jacobs and Ian 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Eckert, jointly and severally, as his/her true and lawful attorneys-in-fact and agents, with full power of substitution and resubstitution, for him/her and in his/her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substitute or substitutes, may lawfully do or cause to be done by virtue hereof.</w:t>
      </w:r>
    </w:p>
    <w:p>
      <w:pPr>
        <w:spacing w:after="0" w:line="24" w:lineRule="exact"/>
        <w:rPr>
          <w:sz w:val="20"/>
          <w:szCs w:val="20"/>
          <w:color w:val="auto"/>
        </w:rPr>
      </w:pPr>
    </w:p>
    <w:p>
      <w:pPr>
        <w:jc w:val="both"/>
        <w:ind w:firstLine="8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80" w:type="dxa"/>
            <w:vAlign w:val="bottom"/>
          </w:tcPr>
          <w:p>
            <w:pPr>
              <w:ind w:left="166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6200" w:type="dxa"/>
            <w:vAlign w:val="bottom"/>
          </w:tcPr>
          <w:p>
            <w:pPr>
              <w:ind w:left="31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7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317"/>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Justin C. Jacobs</w:t>
            </w:r>
          </w:p>
        </w:tc>
        <w:tc>
          <w:tcPr>
            <w:tcW w:w="6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Justin C. Jacobs</w:t>
            </w:r>
          </w:p>
        </w:tc>
        <w:tc>
          <w:tcPr>
            <w:tcW w:w="62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Chief Executive Officer (Principal Executive Officer) and Director</w:t>
            </w:r>
          </w:p>
        </w:tc>
        <w:tc>
          <w:tcPr>
            <w:tcW w:w="17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7"/>
              </w:rPr>
              <w:t>March 16, 2026</w:t>
            </w:r>
          </w:p>
        </w:tc>
        <w:tc>
          <w:tcPr>
            <w:tcW w:w="0" w:type="dxa"/>
            <w:vAlign w:val="bottom"/>
          </w:tcPr>
          <w:p>
            <w:pPr>
              <w:spacing w:after="0"/>
              <w:rPr>
                <w:sz w:val="1"/>
                <w:szCs w:val="1"/>
                <w:color w:val="auto"/>
              </w:rPr>
            </w:pPr>
          </w:p>
        </w:tc>
      </w:tr>
      <w:tr>
        <w:trPr>
          <w:trHeight w:val="425"/>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Ian M. Eckert</w:t>
            </w:r>
          </w:p>
        </w:tc>
        <w:tc>
          <w:tcPr>
            <w:tcW w:w="6200" w:type="dxa"/>
            <w:vAlign w:val="bottom"/>
            <w:vMerge w:val="restart"/>
          </w:tcPr>
          <w:p>
            <w:pPr>
              <w:ind w:left="900"/>
              <w:spacing w:after="0"/>
              <w:rPr>
                <w:sz w:val="20"/>
                <w:szCs w:val="20"/>
                <w:color w:val="auto"/>
              </w:rPr>
            </w:pPr>
            <w:r>
              <w:rPr>
                <w:rFonts w:ascii="Times New Roman" w:cs="Times New Roman" w:eastAsia="Times New Roman" w:hAnsi="Times New Roman"/>
                <w:sz w:val="18"/>
                <w:szCs w:val="18"/>
                <w:color w:val="auto"/>
              </w:rPr>
              <w:t>Chief Financial Officer (Principal Financial Officer and Principal</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6200" w:type="dxa"/>
            <w:vAlign w:val="bottom"/>
            <w:vMerge w:val="continue"/>
          </w:tcPr>
          <w:p>
            <w:pPr>
              <w:spacing w:after="0"/>
              <w:rPr>
                <w:sz w:val="5"/>
                <w:szCs w:val="5"/>
                <w:color w:val="auto"/>
              </w:rPr>
            </w:pPr>
          </w:p>
        </w:tc>
        <w:tc>
          <w:tcPr>
            <w:tcW w:w="1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3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Ian M. Eckert</w:t>
            </w:r>
          </w:p>
        </w:tc>
        <w:tc>
          <w:tcPr>
            <w:tcW w:w="62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Accounting Officer)</w:t>
            </w:r>
          </w:p>
        </w:tc>
        <w:tc>
          <w:tcPr>
            <w:tcW w:w="17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7"/>
              </w:rPr>
              <w:t>March 16, 2026</w:t>
            </w:r>
          </w:p>
        </w:tc>
        <w:tc>
          <w:tcPr>
            <w:tcW w:w="0" w:type="dxa"/>
            <w:vAlign w:val="bottom"/>
          </w:tcPr>
          <w:p>
            <w:pPr>
              <w:spacing w:after="0"/>
              <w:rPr>
                <w:sz w:val="1"/>
                <w:szCs w:val="1"/>
                <w:color w:val="auto"/>
              </w:rPr>
            </w:pPr>
          </w:p>
        </w:tc>
      </w:tr>
      <w:tr>
        <w:trPr>
          <w:trHeight w:val="425"/>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Donald J. Tringali</w:t>
            </w:r>
          </w:p>
        </w:tc>
        <w:tc>
          <w:tcPr>
            <w:tcW w:w="6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Donald J. Tringali</w:t>
            </w:r>
          </w:p>
        </w:tc>
        <w:tc>
          <w:tcPr>
            <w:tcW w:w="62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7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7"/>
              </w:rPr>
              <w:t>March 16, 2026</w:t>
            </w:r>
          </w:p>
        </w:tc>
        <w:tc>
          <w:tcPr>
            <w:tcW w:w="0" w:type="dxa"/>
            <w:vAlign w:val="bottom"/>
          </w:tcPr>
          <w:p>
            <w:pPr>
              <w:spacing w:after="0"/>
              <w:rPr>
                <w:sz w:val="1"/>
                <w:szCs w:val="1"/>
                <w:color w:val="auto"/>
              </w:rPr>
            </w:pPr>
          </w:p>
        </w:tc>
      </w:tr>
      <w:tr>
        <w:trPr>
          <w:trHeight w:val="425"/>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 Anthony Gallegos, Jr.</w:t>
            </w:r>
          </w:p>
        </w:tc>
        <w:tc>
          <w:tcPr>
            <w:tcW w:w="6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 Anthony Gallegos, Jr.</w:t>
            </w:r>
          </w:p>
        </w:tc>
        <w:tc>
          <w:tcPr>
            <w:tcW w:w="62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7"/>
              </w:rPr>
              <w:t>March 16, 2026</w:t>
            </w:r>
          </w:p>
        </w:tc>
        <w:tc>
          <w:tcPr>
            <w:tcW w:w="0" w:type="dxa"/>
            <w:vAlign w:val="bottom"/>
          </w:tcPr>
          <w:p>
            <w:pPr>
              <w:spacing w:after="0"/>
              <w:rPr>
                <w:sz w:val="1"/>
                <w:szCs w:val="1"/>
                <w:color w:val="auto"/>
              </w:rPr>
            </w:pPr>
          </w:p>
        </w:tc>
      </w:tr>
      <w:tr>
        <w:trPr>
          <w:trHeight w:val="425"/>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Georganne Hodges</w:t>
            </w:r>
          </w:p>
        </w:tc>
        <w:tc>
          <w:tcPr>
            <w:tcW w:w="6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Georganne Hodges</w:t>
            </w:r>
          </w:p>
        </w:tc>
        <w:tc>
          <w:tcPr>
            <w:tcW w:w="62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7"/>
              </w:rPr>
              <w:t>March 16, 2026</w:t>
            </w:r>
          </w:p>
        </w:tc>
        <w:tc>
          <w:tcPr>
            <w:tcW w:w="0" w:type="dxa"/>
            <w:vAlign w:val="bottom"/>
          </w:tcPr>
          <w:p>
            <w:pPr>
              <w:spacing w:after="0"/>
              <w:rPr>
                <w:sz w:val="1"/>
                <w:szCs w:val="1"/>
                <w:color w:val="auto"/>
              </w:rPr>
            </w:pPr>
          </w:p>
        </w:tc>
      </w:tr>
      <w:tr>
        <w:trPr>
          <w:trHeight w:val="371"/>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Nigel J. Jenvey</w:t>
            </w:r>
          </w:p>
        </w:tc>
        <w:tc>
          <w:tcPr>
            <w:tcW w:w="6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Nigel J. Jenvey</w:t>
            </w:r>
          </w:p>
        </w:tc>
        <w:tc>
          <w:tcPr>
            <w:tcW w:w="62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7"/>
              </w:rPr>
              <w:t>March 16, 2026</w:t>
            </w:r>
          </w:p>
        </w:tc>
        <w:tc>
          <w:tcPr>
            <w:tcW w:w="0" w:type="dxa"/>
            <w:vAlign w:val="bottom"/>
          </w:tcPr>
          <w:p>
            <w:pPr>
              <w:spacing w:after="0"/>
              <w:rPr>
                <w:sz w:val="1"/>
                <w:szCs w:val="1"/>
                <w:color w:val="auto"/>
              </w:rPr>
            </w:pPr>
          </w:p>
        </w:tc>
      </w:tr>
      <w:tr>
        <w:trPr>
          <w:trHeight w:val="371"/>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Jean K. Holley</w:t>
            </w:r>
          </w:p>
        </w:tc>
        <w:tc>
          <w:tcPr>
            <w:tcW w:w="6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Jean K. Holley</w:t>
            </w:r>
          </w:p>
        </w:tc>
        <w:tc>
          <w:tcPr>
            <w:tcW w:w="62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7"/>
              </w:rPr>
              <w:t>March 16, 2026</w:t>
            </w:r>
          </w:p>
        </w:tc>
        <w:tc>
          <w:tcPr>
            <w:tcW w:w="0" w:type="dxa"/>
            <w:vAlign w:val="bottom"/>
          </w:tcPr>
          <w:p>
            <w:pPr>
              <w:spacing w:after="0"/>
              <w:rPr>
                <w:sz w:val="1"/>
                <w:szCs w:val="1"/>
                <w:color w:val="auto"/>
              </w:rPr>
            </w:pPr>
          </w:p>
        </w:tc>
      </w:tr>
      <w:tr>
        <w:trPr>
          <w:trHeight w:val="371"/>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C. Taylor</w:t>
            </w:r>
          </w:p>
        </w:tc>
        <w:tc>
          <w:tcPr>
            <w:tcW w:w="6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Stephen C. Taylor</w:t>
            </w:r>
          </w:p>
        </w:tc>
        <w:tc>
          <w:tcPr>
            <w:tcW w:w="62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7"/>
              </w:rPr>
              <w:t>March 16, 2026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5" w:name="page46"/>
    <w:bookmarkEnd w:id="4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NATURAL GAS SERVICES GROUP,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23"/>
        </w:trPr>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09"/>
        </w:trPr>
        <w:tc>
          <w:tcPr>
            <w:tcW w:w="974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Reports of Independent Registered Public Accounting Firm (Ham, Langston &amp; Brezina, LLP; Houston, Texas; PCAOB ID 298)</w:t>
            </w:r>
          </w:p>
        </w:tc>
        <w:tc>
          <w:tcPr>
            <w:tcW w:w="14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F-1</w:t>
            </w:r>
          </w:p>
        </w:tc>
      </w:tr>
      <w:tr>
        <w:trPr>
          <w:trHeight w:val="230"/>
        </w:trPr>
        <w:tc>
          <w:tcPr>
            <w:tcW w:w="34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gridSpan w:val="3"/>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474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r>
      <w:tr>
        <w:trPr>
          <w:trHeight w:val="209"/>
        </w:trPr>
        <w:tc>
          <w:tcPr>
            <w:tcW w:w="974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Consolidated Balance Sheets as of December 31, 2025 and 2024</w:t>
            </w:r>
          </w:p>
        </w:tc>
        <w:tc>
          <w:tcPr>
            <w:tcW w:w="14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F-3</w:t>
            </w:r>
          </w:p>
        </w:tc>
      </w:tr>
      <w:tr>
        <w:trPr>
          <w:trHeight w:val="229"/>
        </w:trPr>
        <w:tc>
          <w:tcPr>
            <w:tcW w:w="34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gridSpan w:val="3"/>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474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r>
      <w:tr>
        <w:trPr>
          <w:trHeight w:val="210"/>
        </w:trPr>
        <w:tc>
          <w:tcPr>
            <w:tcW w:w="974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2025, 2024 and 2023</w:t>
            </w:r>
          </w:p>
        </w:tc>
        <w:tc>
          <w:tcPr>
            <w:tcW w:w="14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F-4</w:t>
            </w:r>
          </w:p>
        </w:tc>
      </w:tr>
      <w:tr>
        <w:trPr>
          <w:trHeight w:val="229"/>
        </w:trPr>
        <w:tc>
          <w:tcPr>
            <w:tcW w:w="34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gridSpan w:val="3"/>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474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r>
      <w:tr>
        <w:trPr>
          <w:trHeight w:val="209"/>
        </w:trPr>
        <w:tc>
          <w:tcPr>
            <w:tcW w:w="974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Consolidated Statements of Stockholders’ Equity for the Years Ended December 31, 2025, 2024 and 2023</w:t>
            </w:r>
          </w:p>
        </w:tc>
        <w:tc>
          <w:tcPr>
            <w:tcW w:w="14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F-5</w:t>
            </w:r>
          </w:p>
        </w:tc>
      </w:tr>
      <w:tr>
        <w:trPr>
          <w:trHeight w:val="230"/>
        </w:trPr>
        <w:tc>
          <w:tcPr>
            <w:tcW w:w="34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gridSpan w:val="3"/>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474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r>
      <w:tr>
        <w:trPr>
          <w:trHeight w:val="209"/>
        </w:trPr>
        <w:tc>
          <w:tcPr>
            <w:tcW w:w="974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2025, 2024 and 2023</w:t>
            </w:r>
          </w:p>
        </w:tc>
        <w:tc>
          <w:tcPr>
            <w:tcW w:w="14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F-6</w:t>
            </w:r>
          </w:p>
        </w:tc>
      </w:tr>
      <w:tr>
        <w:trPr>
          <w:trHeight w:val="230"/>
        </w:trPr>
        <w:tc>
          <w:tcPr>
            <w:tcW w:w="34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gridSpan w:val="3"/>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474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r>
      <w:tr>
        <w:trPr>
          <w:trHeight w:val="229"/>
        </w:trPr>
        <w:tc>
          <w:tcPr>
            <w:tcW w:w="974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76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189"/>
        </w:trPr>
        <w:tc>
          <w:tcPr>
            <w:tcW w:w="480" w:type="dxa"/>
            <w:vAlign w:val="bottom"/>
            <w:gridSpan w:val="2"/>
          </w:tcPr>
          <w:p>
            <w:pPr>
              <w:ind w:left="340"/>
              <w:spacing w:after="0" w:line="189" w:lineRule="exact"/>
              <w:rPr>
                <w:sz w:val="20"/>
                <w:szCs w:val="20"/>
                <w:color w:val="auto"/>
              </w:rPr>
            </w:pPr>
            <w:r>
              <w:rPr>
                <w:rFonts w:ascii="Times New Roman" w:cs="Times New Roman" w:eastAsia="Times New Roman" w:hAnsi="Times New Roman"/>
                <w:sz w:val="18"/>
                <w:szCs w:val="18"/>
                <w:color w:val="auto"/>
                <w:w w:val="88"/>
              </w:rPr>
              <w:t>1.</w:t>
            </w:r>
          </w:p>
        </w:tc>
        <w:tc>
          <w:tcPr>
            <w:tcW w:w="9260" w:type="dxa"/>
            <w:vAlign w:val="bottom"/>
            <w:gridSpan w:val="20"/>
          </w:tcPr>
          <w:p>
            <w:pPr>
              <w:ind w:left="40"/>
              <w:spacing w:after="0" w:line="189" w:lineRule="exact"/>
              <w:rPr>
                <w:sz w:val="20"/>
                <w:szCs w:val="20"/>
                <w:color w:val="auto"/>
              </w:rPr>
            </w:pPr>
            <w:r>
              <w:rPr>
                <w:rFonts w:ascii="Times New Roman" w:cs="Times New Roman" w:eastAsia="Times New Roman" w:hAnsi="Times New Roman"/>
                <w:sz w:val="18"/>
                <w:szCs w:val="18"/>
                <w:color w:val="auto"/>
              </w:rPr>
              <w:t>Description of Business</w:t>
            </w:r>
          </w:p>
        </w:tc>
        <w:tc>
          <w:tcPr>
            <w:tcW w:w="14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F-7</w:t>
            </w:r>
          </w:p>
        </w:tc>
      </w:tr>
      <w:tr>
        <w:trPr>
          <w:trHeight w:val="21"/>
        </w:trPr>
        <w:tc>
          <w:tcPr>
            <w:tcW w:w="3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9"/>
        </w:trPr>
        <w:tc>
          <w:tcPr>
            <w:tcW w:w="480" w:type="dxa"/>
            <w:vAlign w:val="bottom"/>
            <w:gridSpan w:val="2"/>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w w:val="88"/>
              </w:rPr>
              <w:t>2.</w:t>
            </w:r>
          </w:p>
        </w:tc>
        <w:tc>
          <w:tcPr>
            <w:tcW w:w="9260" w:type="dxa"/>
            <w:vAlign w:val="bottom"/>
            <w:gridSpan w:val="20"/>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Summary of Significant Accounting Policies</w:t>
            </w:r>
          </w:p>
        </w:tc>
        <w:tc>
          <w:tcPr>
            <w:tcW w:w="1440" w:type="dxa"/>
            <w:vAlign w:val="bottom"/>
            <w:gridSpan w:val="3"/>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5"/>
              </w:rPr>
              <w:t>F-7</w:t>
            </w: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480" w:type="dxa"/>
            <w:vAlign w:val="bottom"/>
            <w:gridSpan w:val="2"/>
          </w:tcPr>
          <w:p>
            <w:pPr>
              <w:ind w:left="340"/>
              <w:spacing w:after="0" w:line="189" w:lineRule="exact"/>
              <w:rPr>
                <w:sz w:val="20"/>
                <w:szCs w:val="20"/>
                <w:color w:val="auto"/>
              </w:rPr>
            </w:pPr>
            <w:r>
              <w:rPr>
                <w:rFonts w:ascii="Times New Roman" w:cs="Times New Roman" w:eastAsia="Times New Roman" w:hAnsi="Times New Roman"/>
                <w:sz w:val="18"/>
                <w:szCs w:val="18"/>
                <w:color w:val="auto"/>
                <w:w w:val="88"/>
              </w:rPr>
              <w:t>3.</w:t>
            </w:r>
          </w:p>
        </w:tc>
        <w:tc>
          <w:tcPr>
            <w:tcW w:w="9260" w:type="dxa"/>
            <w:vAlign w:val="bottom"/>
            <w:gridSpan w:val="20"/>
          </w:tcPr>
          <w:p>
            <w:pPr>
              <w:ind w:left="40"/>
              <w:spacing w:after="0" w:line="189" w:lineRule="exact"/>
              <w:rPr>
                <w:sz w:val="20"/>
                <w:szCs w:val="20"/>
                <w:color w:val="auto"/>
              </w:rPr>
            </w:pPr>
            <w:r>
              <w:rPr>
                <w:rFonts w:ascii="Times New Roman" w:cs="Times New Roman" w:eastAsia="Times New Roman" w:hAnsi="Times New Roman"/>
                <w:sz w:val="18"/>
                <w:szCs w:val="18"/>
                <w:color w:val="auto"/>
              </w:rPr>
              <w:t>Trade Accounts Receivables</w:t>
            </w:r>
          </w:p>
        </w:tc>
        <w:tc>
          <w:tcPr>
            <w:tcW w:w="1440" w:type="dxa"/>
            <w:vAlign w:val="bottom"/>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auto"/>
                <w:w w:val="93"/>
              </w:rPr>
              <w:t>F-11</w:t>
            </w:r>
          </w:p>
        </w:tc>
      </w:tr>
      <w:tr>
        <w:trPr>
          <w:trHeight w:val="21"/>
        </w:trPr>
        <w:tc>
          <w:tcPr>
            <w:tcW w:w="3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9"/>
        </w:trPr>
        <w:tc>
          <w:tcPr>
            <w:tcW w:w="480" w:type="dxa"/>
            <w:vAlign w:val="bottom"/>
            <w:gridSpan w:val="2"/>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w w:val="88"/>
              </w:rPr>
              <w:t>4.</w:t>
            </w:r>
          </w:p>
        </w:tc>
        <w:tc>
          <w:tcPr>
            <w:tcW w:w="9260" w:type="dxa"/>
            <w:vAlign w:val="bottom"/>
            <w:gridSpan w:val="20"/>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Inventory</w:t>
            </w:r>
          </w:p>
        </w:tc>
        <w:tc>
          <w:tcPr>
            <w:tcW w:w="144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w w:val="99"/>
              </w:rPr>
              <w:t>F-12</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480" w:type="dxa"/>
            <w:vAlign w:val="bottom"/>
            <w:gridSpan w:val="2"/>
          </w:tcPr>
          <w:p>
            <w:pPr>
              <w:ind w:left="340"/>
              <w:spacing w:after="0" w:line="189" w:lineRule="exact"/>
              <w:rPr>
                <w:sz w:val="20"/>
                <w:szCs w:val="20"/>
                <w:color w:val="auto"/>
              </w:rPr>
            </w:pPr>
            <w:r>
              <w:rPr>
                <w:rFonts w:ascii="Times New Roman" w:cs="Times New Roman" w:eastAsia="Times New Roman" w:hAnsi="Times New Roman"/>
                <w:sz w:val="18"/>
                <w:szCs w:val="18"/>
                <w:color w:val="auto"/>
                <w:w w:val="88"/>
              </w:rPr>
              <w:t>5.</w:t>
            </w:r>
          </w:p>
        </w:tc>
        <w:tc>
          <w:tcPr>
            <w:tcW w:w="9260" w:type="dxa"/>
            <w:vAlign w:val="bottom"/>
            <w:gridSpan w:val="20"/>
          </w:tcPr>
          <w:p>
            <w:pPr>
              <w:ind w:left="40"/>
              <w:spacing w:after="0" w:line="189" w:lineRule="exact"/>
              <w:rPr>
                <w:sz w:val="20"/>
                <w:szCs w:val="20"/>
                <w:color w:val="auto"/>
              </w:rPr>
            </w:pPr>
            <w:r>
              <w:rPr>
                <w:rFonts w:ascii="Times New Roman" w:cs="Times New Roman" w:eastAsia="Times New Roman" w:hAnsi="Times New Roman"/>
                <w:sz w:val="18"/>
                <w:szCs w:val="18"/>
                <w:color w:val="auto"/>
              </w:rPr>
              <w:t>Assets Held for Sale and Restructuring Activities</w:t>
            </w:r>
          </w:p>
        </w:tc>
        <w:tc>
          <w:tcPr>
            <w:tcW w:w="144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w w:val="99"/>
              </w:rPr>
              <w:t>F-13</w:t>
            </w:r>
          </w:p>
        </w:tc>
      </w:tr>
      <w:tr>
        <w:trPr>
          <w:trHeight w:val="21"/>
        </w:trPr>
        <w:tc>
          <w:tcPr>
            <w:tcW w:w="3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9"/>
        </w:trPr>
        <w:tc>
          <w:tcPr>
            <w:tcW w:w="480" w:type="dxa"/>
            <w:vAlign w:val="bottom"/>
            <w:gridSpan w:val="2"/>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w w:val="88"/>
              </w:rPr>
              <w:t>6.</w:t>
            </w:r>
          </w:p>
        </w:tc>
        <w:tc>
          <w:tcPr>
            <w:tcW w:w="9260" w:type="dxa"/>
            <w:vAlign w:val="bottom"/>
            <w:gridSpan w:val="20"/>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Rental Equipment</w:t>
            </w:r>
          </w:p>
        </w:tc>
        <w:tc>
          <w:tcPr>
            <w:tcW w:w="144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w w:val="99"/>
              </w:rPr>
              <w:t>F-13</w:t>
            </w: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480" w:type="dxa"/>
            <w:vAlign w:val="bottom"/>
            <w:gridSpan w:val="2"/>
          </w:tcPr>
          <w:p>
            <w:pPr>
              <w:ind w:left="340"/>
              <w:spacing w:after="0" w:line="189" w:lineRule="exact"/>
              <w:rPr>
                <w:sz w:val="20"/>
                <w:szCs w:val="20"/>
                <w:color w:val="auto"/>
              </w:rPr>
            </w:pPr>
            <w:r>
              <w:rPr>
                <w:rFonts w:ascii="Times New Roman" w:cs="Times New Roman" w:eastAsia="Times New Roman" w:hAnsi="Times New Roman"/>
                <w:sz w:val="18"/>
                <w:szCs w:val="18"/>
                <w:color w:val="auto"/>
                <w:w w:val="88"/>
              </w:rPr>
              <w:t>7.</w:t>
            </w:r>
          </w:p>
        </w:tc>
        <w:tc>
          <w:tcPr>
            <w:tcW w:w="9260" w:type="dxa"/>
            <w:vAlign w:val="bottom"/>
            <w:gridSpan w:val="20"/>
          </w:tcPr>
          <w:p>
            <w:pPr>
              <w:ind w:left="20"/>
              <w:spacing w:after="0" w:line="189" w:lineRule="exact"/>
              <w:rPr>
                <w:sz w:val="20"/>
                <w:szCs w:val="20"/>
                <w:color w:val="auto"/>
              </w:rPr>
            </w:pPr>
            <w:r>
              <w:rPr>
                <w:rFonts w:ascii="Times New Roman" w:cs="Times New Roman" w:eastAsia="Times New Roman" w:hAnsi="Times New Roman"/>
                <w:sz w:val="18"/>
                <w:szCs w:val="18"/>
                <w:color w:val="auto"/>
              </w:rPr>
              <w:t>Property and Equipment</w:t>
            </w:r>
          </w:p>
        </w:tc>
        <w:tc>
          <w:tcPr>
            <w:tcW w:w="144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w w:val="99"/>
              </w:rPr>
              <w:t>F-14</w:t>
            </w:r>
          </w:p>
        </w:tc>
      </w:tr>
      <w:tr>
        <w:trPr>
          <w:trHeight w:val="21"/>
        </w:trPr>
        <w:tc>
          <w:tcPr>
            <w:tcW w:w="3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9"/>
        </w:trPr>
        <w:tc>
          <w:tcPr>
            <w:tcW w:w="480" w:type="dxa"/>
            <w:vAlign w:val="bottom"/>
            <w:gridSpan w:val="2"/>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w w:val="88"/>
              </w:rPr>
              <w:t>8.</w:t>
            </w:r>
          </w:p>
        </w:tc>
        <w:tc>
          <w:tcPr>
            <w:tcW w:w="9260" w:type="dxa"/>
            <w:vAlign w:val="bottom"/>
            <w:gridSpan w:val="20"/>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Leases</w:t>
            </w:r>
          </w:p>
        </w:tc>
        <w:tc>
          <w:tcPr>
            <w:tcW w:w="144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w w:val="99"/>
              </w:rPr>
              <w:t>F-14</w:t>
            </w: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480" w:type="dxa"/>
            <w:vAlign w:val="bottom"/>
            <w:gridSpan w:val="2"/>
          </w:tcPr>
          <w:p>
            <w:pPr>
              <w:ind w:left="340"/>
              <w:spacing w:after="0" w:line="189" w:lineRule="exact"/>
              <w:rPr>
                <w:sz w:val="20"/>
                <w:szCs w:val="20"/>
                <w:color w:val="auto"/>
              </w:rPr>
            </w:pPr>
            <w:r>
              <w:rPr>
                <w:rFonts w:ascii="Times New Roman" w:cs="Times New Roman" w:eastAsia="Times New Roman" w:hAnsi="Times New Roman"/>
                <w:sz w:val="18"/>
                <w:szCs w:val="18"/>
                <w:color w:val="auto"/>
                <w:w w:val="88"/>
              </w:rPr>
              <w:t>9.</w:t>
            </w:r>
          </w:p>
        </w:tc>
        <w:tc>
          <w:tcPr>
            <w:tcW w:w="9260" w:type="dxa"/>
            <w:vAlign w:val="bottom"/>
            <w:gridSpan w:val="20"/>
          </w:tcPr>
          <w:p>
            <w:pPr>
              <w:ind w:left="20"/>
              <w:spacing w:after="0" w:line="189" w:lineRule="exact"/>
              <w:rPr>
                <w:sz w:val="20"/>
                <w:szCs w:val="20"/>
                <w:color w:val="auto"/>
              </w:rPr>
            </w:pPr>
            <w:r>
              <w:rPr>
                <w:rFonts w:ascii="Times New Roman" w:cs="Times New Roman" w:eastAsia="Times New Roman" w:hAnsi="Times New Roman"/>
                <w:sz w:val="18"/>
                <w:szCs w:val="18"/>
                <w:color w:val="auto"/>
              </w:rPr>
              <w:t>Supplemental Balance Sheet Disclosures</w:t>
            </w:r>
          </w:p>
        </w:tc>
        <w:tc>
          <w:tcPr>
            <w:tcW w:w="144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w w:val="99"/>
              </w:rPr>
              <w:t>F-16</w:t>
            </w:r>
          </w:p>
        </w:tc>
      </w:tr>
      <w:tr>
        <w:trPr>
          <w:trHeight w:val="21"/>
        </w:trPr>
        <w:tc>
          <w:tcPr>
            <w:tcW w:w="3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9"/>
        </w:trPr>
        <w:tc>
          <w:tcPr>
            <w:tcW w:w="580" w:type="dxa"/>
            <w:vAlign w:val="bottom"/>
            <w:gridSpan w:val="3"/>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w w:val="97"/>
              </w:rPr>
              <w:t>10.</w:t>
            </w:r>
          </w:p>
        </w:tc>
        <w:tc>
          <w:tcPr>
            <w:tcW w:w="9160" w:type="dxa"/>
            <w:vAlign w:val="bottom"/>
            <w:gridSpan w:val="19"/>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Long-Term Debt</w:t>
            </w:r>
          </w:p>
        </w:tc>
        <w:tc>
          <w:tcPr>
            <w:tcW w:w="144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w w:val="99"/>
              </w:rPr>
              <w:t>F-16</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80" w:type="dxa"/>
            <w:vAlign w:val="bottom"/>
            <w:gridSpan w:val="3"/>
          </w:tcPr>
          <w:p>
            <w:pPr>
              <w:ind w:left="340"/>
              <w:spacing w:after="0" w:line="189" w:lineRule="exact"/>
              <w:rPr>
                <w:sz w:val="20"/>
                <w:szCs w:val="20"/>
                <w:color w:val="auto"/>
              </w:rPr>
            </w:pPr>
            <w:r>
              <w:rPr>
                <w:rFonts w:ascii="Times New Roman" w:cs="Times New Roman" w:eastAsia="Times New Roman" w:hAnsi="Times New Roman"/>
                <w:sz w:val="18"/>
                <w:szCs w:val="18"/>
                <w:color w:val="auto"/>
                <w:w w:val="97"/>
              </w:rPr>
              <w:t>11.</w:t>
            </w:r>
          </w:p>
        </w:tc>
        <w:tc>
          <w:tcPr>
            <w:tcW w:w="9160" w:type="dxa"/>
            <w:vAlign w:val="bottom"/>
            <w:gridSpan w:val="19"/>
          </w:tcPr>
          <w:p>
            <w:pPr>
              <w:ind w:left="20"/>
              <w:spacing w:after="0" w:line="189" w:lineRule="exact"/>
              <w:rPr>
                <w:sz w:val="20"/>
                <w:szCs w:val="20"/>
                <w:color w:val="auto"/>
              </w:rPr>
            </w:pPr>
            <w:r>
              <w:rPr>
                <w:rFonts w:ascii="Times New Roman" w:cs="Times New Roman" w:eastAsia="Times New Roman" w:hAnsi="Times New Roman"/>
                <w:sz w:val="18"/>
                <w:szCs w:val="18"/>
                <w:color w:val="auto"/>
              </w:rPr>
              <w:t>Income Taxes</w:t>
            </w:r>
          </w:p>
        </w:tc>
        <w:tc>
          <w:tcPr>
            <w:tcW w:w="144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w w:val="99"/>
              </w:rPr>
              <w:t>F-17</w:t>
            </w:r>
          </w:p>
        </w:tc>
      </w:tr>
      <w:tr>
        <w:trPr>
          <w:trHeight w:val="20"/>
        </w:trPr>
        <w:tc>
          <w:tcPr>
            <w:tcW w:w="3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9"/>
        </w:trPr>
        <w:tc>
          <w:tcPr>
            <w:tcW w:w="580" w:type="dxa"/>
            <w:vAlign w:val="bottom"/>
            <w:gridSpan w:val="3"/>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w w:val="97"/>
              </w:rPr>
              <w:t>12.</w:t>
            </w:r>
          </w:p>
        </w:tc>
        <w:tc>
          <w:tcPr>
            <w:tcW w:w="9160" w:type="dxa"/>
            <w:vAlign w:val="bottom"/>
            <w:gridSpan w:val="19"/>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Deferred Compensation Plan</w:t>
            </w:r>
          </w:p>
        </w:tc>
        <w:tc>
          <w:tcPr>
            <w:tcW w:w="144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w w:val="99"/>
              </w:rPr>
              <w:t>F-19</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80" w:type="dxa"/>
            <w:vAlign w:val="bottom"/>
            <w:gridSpan w:val="3"/>
          </w:tcPr>
          <w:p>
            <w:pPr>
              <w:ind w:left="340"/>
              <w:spacing w:after="0" w:line="189" w:lineRule="exact"/>
              <w:rPr>
                <w:sz w:val="20"/>
                <w:szCs w:val="20"/>
                <w:color w:val="auto"/>
              </w:rPr>
            </w:pPr>
            <w:r>
              <w:rPr>
                <w:rFonts w:ascii="Times New Roman" w:cs="Times New Roman" w:eastAsia="Times New Roman" w:hAnsi="Times New Roman"/>
                <w:sz w:val="18"/>
                <w:szCs w:val="18"/>
                <w:color w:val="auto"/>
                <w:w w:val="97"/>
              </w:rPr>
              <w:t>13.</w:t>
            </w:r>
          </w:p>
        </w:tc>
        <w:tc>
          <w:tcPr>
            <w:tcW w:w="9160" w:type="dxa"/>
            <w:vAlign w:val="bottom"/>
            <w:gridSpan w:val="19"/>
          </w:tcPr>
          <w:p>
            <w:pPr>
              <w:ind w:left="20"/>
              <w:spacing w:after="0" w:line="189"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144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w w:val="99"/>
              </w:rPr>
              <w:t>F-19</w:t>
            </w:r>
          </w:p>
        </w:tc>
      </w:tr>
      <w:tr>
        <w:trPr>
          <w:trHeight w:val="20"/>
        </w:trPr>
        <w:tc>
          <w:tcPr>
            <w:tcW w:w="3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9"/>
        </w:trPr>
        <w:tc>
          <w:tcPr>
            <w:tcW w:w="580" w:type="dxa"/>
            <w:vAlign w:val="bottom"/>
            <w:gridSpan w:val="3"/>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w w:val="97"/>
              </w:rPr>
              <w:t>14.</w:t>
            </w:r>
          </w:p>
        </w:tc>
        <w:tc>
          <w:tcPr>
            <w:tcW w:w="9160" w:type="dxa"/>
            <w:vAlign w:val="bottom"/>
            <w:gridSpan w:val="19"/>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Stockholders’ Equity</w:t>
            </w:r>
          </w:p>
        </w:tc>
        <w:tc>
          <w:tcPr>
            <w:tcW w:w="144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w w:val="99"/>
              </w:rPr>
              <w:t>F-19</w:t>
            </w: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80" w:type="dxa"/>
            <w:vAlign w:val="bottom"/>
            <w:gridSpan w:val="3"/>
          </w:tcPr>
          <w:p>
            <w:pPr>
              <w:ind w:left="340"/>
              <w:spacing w:after="0" w:line="189" w:lineRule="exact"/>
              <w:rPr>
                <w:sz w:val="20"/>
                <w:szCs w:val="20"/>
                <w:color w:val="auto"/>
              </w:rPr>
            </w:pPr>
            <w:r>
              <w:rPr>
                <w:rFonts w:ascii="Times New Roman" w:cs="Times New Roman" w:eastAsia="Times New Roman" w:hAnsi="Times New Roman"/>
                <w:sz w:val="18"/>
                <w:szCs w:val="18"/>
                <w:color w:val="auto"/>
                <w:w w:val="97"/>
              </w:rPr>
              <w:t>15.</w:t>
            </w:r>
          </w:p>
        </w:tc>
        <w:tc>
          <w:tcPr>
            <w:tcW w:w="9160" w:type="dxa"/>
            <w:vAlign w:val="bottom"/>
            <w:gridSpan w:val="19"/>
          </w:tcPr>
          <w:p>
            <w:pPr>
              <w:ind w:left="20"/>
              <w:spacing w:after="0" w:line="189" w:lineRule="exact"/>
              <w:rPr>
                <w:sz w:val="20"/>
                <w:szCs w:val="20"/>
                <w:color w:val="auto"/>
              </w:rPr>
            </w:pPr>
            <w:r>
              <w:rPr>
                <w:rFonts w:ascii="Times New Roman" w:cs="Times New Roman" w:eastAsia="Times New Roman" w:hAnsi="Times New Roman"/>
                <w:sz w:val="18"/>
                <w:szCs w:val="18"/>
                <w:color w:val="auto"/>
              </w:rPr>
              <w:t>Revenues from Customers</w:t>
            </w:r>
          </w:p>
        </w:tc>
        <w:tc>
          <w:tcPr>
            <w:tcW w:w="144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w w:val="99"/>
              </w:rPr>
              <w:t>F-20</w:t>
            </w:r>
          </w:p>
        </w:tc>
      </w:tr>
      <w:tr>
        <w:trPr>
          <w:trHeight w:val="20"/>
        </w:trPr>
        <w:tc>
          <w:tcPr>
            <w:tcW w:w="3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9"/>
        </w:trPr>
        <w:tc>
          <w:tcPr>
            <w:tcW w:w="580" w:type="dxa"/>
            <w:vAlign w:val="bottom"/>
            <w:gridSpan w:val="3"/>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w w:val="97"/>
              </w:rPr>
              <w:t>16.</w:t>
            </w:r>
          </w:p>
        </w:tc>
        <w:tc>
          <w:tcPr>
            <w:tcW w:w="9160" w:type="dxa"/>
            <w:vAlign w:val="bottom"/>
            <w:gridSpan w:val="19"/>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Stock-Based and Other Long-Term Incentive Compensations</w:t>
            </w:r>
          </w:p>
        </w:tc>
        <w:tc>
          <w:tcPr>
            <w:tcW w:w="144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w w:val="99"/>
              </w:rPr>
              <w:t>F-21</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80" w:type="dxa"/>
            <w:vAlign w:val="bottom"/>
            <w:gridSpan w:val="3"/>
          </w:tcPr>
          <w:p>
            <w:pPr>
              <w:ind w:left="340"/>
              <w:spacing w:after="0" w:line="189" w:lineRule="exact"/>
              <w:rPr>
                <w:sz w:val="20"/>
                <w:szCs w:val="20"/>
                <w:color w:val="auto"/>
              </w:rPr>
            </w:pPr>
            <w:r>
              <w:rPr>
                <w:rFonts w:ascii="Times New Roman" w:cs="Times New Roman" w:eastAsia="Times New Roman" w:hAnsi="Times New Roman"/>
                <w:sz w:val="18"/>
                <w:szCs w:val="18"/>
                <w:color w:val="auto"/>
                <w:w w:val="97"/>
              </w:rPr>
              <w:t>17.</w:t>
            </w:r>
          </w:p>
        </w:tc>
        <w:tc>
          <w:tcPr>
            <w:tcW w:w="9160" w:type="dxa"/>
            <w:vAlign w:val="bottom"/>
            <w:gridSpan w:val="19"/>
          </w:tcPr>
          <w:p>
            <w:pPr>
              <w:ind w:left="20"/>
              <w:spacing w:after="0" w:line="189" w:lineRule="exact"/>
              <w:rPr>
                <w:sz w:val="20"/>
                <w:szCs w:val="20"/>
                <w:color w:val="auto"/>
              </w:rPr>
            </w:pPr>
            <w:r>
              <w:rPr>
                <w:rFonts w:ascii="Times New Roman" w:cs="Times New Roman" w:eastAsia="Times New Roman" w:hAnsi="Times New Roman"/>
                <w:sz w:val="18"/>
                <w:szCs w:val="18"/>
                <w:color w:val="auto"/>
              </w:rPr>
              <w:t>Related Party Transactions</w:t>
            </w:r>
          </w:p>
        </w:tc>
        <w:tc>
          <w:tcPr>
            <w:tcW w:w="144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w w:val="99"/>
              </w:rPr>
              <w:t>F-24</w:t>
            </w:r>
          </w:p>
        </w:tc>
      </w:tr>
      <w:tr>
        <w:trPr>
          <w:trHeight w:val="20"/>
        </w:trPr>
        <w:tc>
          <w:tcPr>
            <w:tcW w:w="3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9"/>
        </w:trPr>
        <w:tc>
          <w:tcPr>
            <w:tcW w:w="580" w:type="dxa"/>
            <w:vAlign w:val="bottom"/>
            <w:gridSpan w:val="3"/>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w w:val="97"/>
              </w:rPr>
              <w:t>18.</w:t>
            </w:r>
          </w:p>
        </w:tc>
        <w:tc>
          <w:tcPr>
            <w:tcW w:w="9160" w:type="dxa"/>
            <w:vAlign w:val="bottom"/>
            <w:gridSpan w:val="19"/>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Earnings (Loss) per Share</w:t>
            </w:r>
          </w:p>
        </w:tc>
        <w:tc>
          <w:tcPr>
            <w:tcW w:w="1440" w:type="dxa"/>
            <w:vAlign w:val="bottom"/>
            <w:gridSpan w:val="3"/>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w w:val="99"/>
              </w:rPr>
              <w:t>F-24</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80" w:type="dxa"/>
            <w:vAlign w:val="bottom"/>
            <w:gridSpan w:val="3"/>
          </w:tcPr>
          <w:p>
            <w:pPr>
              <w:ind w:left="340"/>
              <w:spacing w:after="0" w:line="189" w:lineRule="exact"/>
              <w:rPr>
                <w:sz w:val="20"/>
                <w:szCs w:val="20"/>
                <w:color w:val="auto"/>
              </w:rPr>
            </w:pPr>
            <w:r>
              <w:rPr>
                <w:rFonts w:ascii="Times New Roman" w:cs="Times New Roman" w:eastAsia="Times New Roman" w:hAnsi="Times New Roman"/>
                <w:sz w:val="18"/>
                <w:szCs w:val="18"/>
                <w:color w:val="auto"/>
                <w:w w:val="97"/>
              </w:rPr>
              <w:t>19.</w:t>
            </w:r>
          </w:p>
        </w:tc>
        <w:tc>
          <w:tcPr>
            <w:tcW w:w="9160" w:type="dxa"/>
            <w:vAlign w:val="bottom"/>
            <w:gridSpan w:val="19"/>
          </w:tcPr>
          <w:p>
            <w:pPr>
              <w:ind w:left="20"/>
              <w:spacing w:after="0" w:line="189" w:lineRule="exact"/>
              <w:rPr>
                <w:sz w:val="20"/>
                <w:szCs w:val="20"/>
                <w:color w:val="auto"/>
              </w:rPr>
            </w:pPr>
            <w:r>
              <w:rPr>
                <w:rFonts w:ascii="Times New Roman" w:cs="Times New Roman" w:eastAsia="Times New Roman" w:hAnsi="Times New Roman"/>
                <w:sz w:val="18"/>
                <w:szCs w:val="18"/>
                <w:color w:val="auto"/>
              </w:rPr>
              <w:t>Subsequent Events</w:t>
            </w:r>
          </w:p>
        </w:tc>
        <w:tc>
          <w:tcPr>
            <w:tcW w:w="144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w w:val="99"/>
              </w:rPr>
              <w:t>F-25</w:t>
            </w: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Natural Gas Services Group, Inc.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Natural Gas Services Group, Inc. (the “Company”) as of December 31, 2025 and 2024, and related consolidated statements of operations, stockholders’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consolidated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 and our report dated March 16, 2026 expressed an unqualified opinion on the effectiveness of the Company's internal control over financial reporting.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consolidated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 We determined that there are no critical audit matters.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Ham, Langston &amp; Brezina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Natural Gas Services Group, Inc.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Internal Control over Financial Reporting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Natural Gas Services Group, Inc.'s (the Company) internal control over financial reporting as of December 31, 2025, based on criteria established in Internal Control — Integrated Framework issued by the Committee of Sponsoring Organizations of the Treadway Commission in 2013 (“COSO”). In our opinion, the Company maintained, in all material respects, effective internal control over financial reporting as of December 31, 2025, based on criteria established in Internal Control — Integrated Framework issued by COSO.</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balance sheets as of December 31, 2025 and 2024, and related consolidated statements of operations, stockholders’ equity, and cash flows for each of the three years in the period ended December 31, 2025, and the related notes (collectively referred to as the “consolidated financial statements”) of the Company and our report dated March 16, 2026 expressed an unqualified opinion.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Ham, Langston &amp; Brezina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NATURAL GAS SERVICES GROUP, INC.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20" w:type="dxa"/>
            <w:vAlign w:val="bottom"/>
          </w:tcPr>
          <w:p>
            <w:pPr>
              <w:jc w:val="center"/>
              <w:ind w:right="29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0" w:type="dxa"/>
            <w:vAlign w:val="bottom"/>
          </w:tcPr>
          <w:p>
            <w:pPr>
              <w:spacing w:after="0"/>
              <w:rPr>
                <w:sz w:val="1"/>
                <w:szCs w:val="1"/>
                <w:color w:val="auto"/>
              </w:rPr>
            </w:pPr>
          </w:p>
        </w:tc>
      </w:tr>
      <w:tr>
        <w:trPr>
          <w:trHeight w:val="230"/>
        </w:trPr>
        <w:tc>
          <w:tcPr>
            <w:tcW w:w="80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accounts receivable, net of provision for credit losses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15,626</w:t>
            </w:r>
          </w:p>
        </w:tc>
        <w:tc>
          <w:tcPr>
            <w:tcW w:w="0" w:type="dxa"/>
            <w:vAlign w:val="bottom"/>
          </w:tcPr>
          <w:p>
            <w:pPr>
              <w:spacing w:after="0"/>
              <w:rPr>
                <w:sz w:val="1"/>
                <w:szCs w:val="1"/>
                <w:color w:val="auto"/>
              </w:rPr>
            </w:pPr>
          </w:p>
        </w:tc>
      </w:tr>
      <w:tr>
        <w:trPr>
          <w:trHeight w:val="229"/>
        </w:trPr>
        <w:tc>
          <w:tcPr>
            <w:tcW w:w="80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Inventory, net of allowance for obsolescence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18,051</w:t>
            </w:r>
          </w:p>
        </w:tc>
        <w:tc>
          <w:tcPr>
            <w:tcW w:w="0" w:type="dxa"/>
            <w:vAlign w:val="bottom"/>
          </w:tcPr>
          <w:p>
            <w:pPr>
              <w:spacing w:after="0"/>
              <w:rPr>
                <w:sz w:val="1"/>
                <w:szCs w:val="1"/>
                <w:color w:val="auto"/>
              </w:rPr>
            </w:pPr>
          </w:p>
        </w:tc>
      </w:tr>
      <w:tr>
        <w:trPr>
          <w:trHeight w:val="230"/>
        </w:trPr>
        <w:tc>
          <w:tcPr>
            <w:tcW w:w="80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 receivable and prepayments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0" w:type="dxa"/>
            <w:vAlign w:val="bottom"/>
          </w:tcPr>
          <w:p>
            <w:pPr>
              <w:spacing w:after="0"/>
              <w:rPr>
                <w:sz w:val="1"/>
                <w:szCs w:val="1"/>
                <w:color w:val="auto"/>
              </w:rPr>
            </w:pPr>
          </w:p>
        </w:tc>
      </w:tr>
      <w:tr>
        <w:trPr>
          <w:trHeight w:val="229"/>
        </w:trPr>
        <w:tc>
          <w:tcPr>
            <w:tcW w:w="80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29"/>
        </w:trPr>
        <w:tc>
          <w:tcPr>
            <w:tcW w:w="80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 held for sale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0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48,176</w:t>
            </w:r>
          </w:p>
        </w:tc>
        <w:tc>
          <w:tcPr>
            <w:tcW w:w="0" w:type="dxa"/>
            <w:vAlign w:val="bottom"/>
          </w:tcPr>
          <w:p>
            <w:pPr>
              <w:spacing w:after="0"/>
              <w:rPr>
                <w:sz w:val="1"/>
                <w:szCs w:val="1"/>
                <w:color w:val="auto"/>
              </w:rPr>
            </w:pPr>
          </w:p>
        </w:tc>
      </w:tr>
      <w:tr>
        <w:trPr>
          <w:trHeight w:val="229"/>
        </w:trPr>
        <w:tc>
          <w:tcPr>
            <w:tcW w:w="8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inventory, net of allowance for obsolescence</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Rental equipment, net of accumulated depreciation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498,525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415,021</w:t>
            </w:r>
          </w:p>
        </w:tc>
        <w:tc>
          <w:tcPr>
            <w:tcW w:w="0" w:type="dxa"/>
            <w:vAlign w:val="bottom"/>
          </w:tcPr>
          <w:p>
            <w:pPr>
              <w:spacing w:after="0"/>
              <w:rPr>
                <w:sz w:val="1"/>
                <w:szCs w:val="1"/>
                <w:color w:val="auto"/>
              </w:rPr>
            </w:pPr>
          </w:p>
        </w:tc>
      </w:tr>
      <w:tr>
        <w:trPr>
          <w:trHeight w:val="229"/>
        </w:trPr>
        <w:tc>
          <w:tcPr>
            <w:tcW w:w="8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22,989</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10,619</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586,786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492,528</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8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14,048</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9,670</w:t>
            </w:r>
          </w:p>
        </w:tc>
        <w:tc>
          <w:tcPr>
            <w:tcW w:w="0" w:type="dxa"/>
            <w:vAlign w:val="bottom"/>
          </w:tcPr>
          <w:p>
            <w:pPr>
              <w:spacing w:after="0"/>
              <w:rPr>
                <w:sz w:val="1"/>
                <w:szCs w:val="1"/>
                <w:color w:val="auto"/>
              </w:rPr>
            </w:pPr>
          </w:p>
        </w:tc>
      </w:tr>
      <w:tr>
        <w:trPr>
          <w:trHeight w:val="229"/>
        </w:trPr>
        <w:tc>
          <w:tcPr>
            <w:tcW w:w="80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0" w:type="dxa"/>
            <w:vAlign w:val="bottom"/>
          </w:tcPr>
          <w:p>
            <w:pPr>
              <w:spacing w:after="0"/>
              <w:rPr>
                <w:sz w:val="1"/>
                <w:szCs w:val="1"/>
                <w:color w:val="auto"/>
              </w:rPr>
            </w:pPr>
          </w:p>
        </w:tc>
      </w:tr>
      <w:tr>
        <w:trPr>
          <w:trHeight w:val="223"/>
        </w:trPr>
        <w:tc>
          <w:tcPr>
            <w:tcW w:w="80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17,358</w:t>
            </w:r>
          </w:p>
        </w:tc>
        <w:tc>
          <w:tcPr>
            <w:tcW w:w="0" w:type="dxa"/>
            <w:vAlign w:val="bottom"/>
          </w:tcPr>
          <w:p>
            <w:pPr>
              <w:spacing w:after="0"/>
              <w:rPr>
                <w:sz w:val="1"/>
                <w:szCs w:val="1"/>
                <w:color w:val="auto"/>
              </w:rPr>
            </w:pPr>
          </w:p>
        </w:tc>
      </w:tr>
      <w:tr>
        <w:trPr>
          <w:trHeight w:val="229"/>
        </w:trPr>
        <w:tc>
          <w:tcPr>
            <w:tcW w:w="8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0" w:type="dxa"/>
            <w:vAlign w:val="bottom"/>
          </w:tcPr>
          <w:p>
            <w:pPr>
              <w:spacing w:after="0"/>
              <w:rPr>
                <w:sz w:val="1"/>
                <w:szCs w:val="1"/>
                <w:color w:val="auto"/>
              </w:rPr>
            </w:pPr>
          </w:p>
        </w:tc>
      </w:tr>
      <w:tr>
        <w:trPr>
          <w:trHeight w:val="230"/>
        </w:trPr>
        <w:tc>
          <w:tcPr>
            <w:tcW w:w="8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45,873</w:t>
            </w:r>
          </w:p>
        </w:tc>
        <w:tc>
          <w:tcPr>
            <w:tcW w:w="0" w:type="dxa"/>
            <w:vAlign w:val="bottom"/>
          </w:tcPr>
          <w:p>
            <w:pPr>
              <w:spacing w:after="0"/>
              <w:rPr>
                <w:sz w:val="1"/>
                <w:szCs w:val="1"/>
                <w:color w:val="auto"/>
              </w:rPr>
            </w:pPr>
          </w:p>
        </w:tc>
      </w:tr>
      <w:tr>
        <w:trPr>
          <w:trHeight w:val="230"/>
        </w:trPr>
        <w:tc>
          <w:tcPr>
            <w:tcW w:w="8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0" w:type="dxa"/>
            <w:vAlign w:val="bottom"/>
          </w:tcPr>
          <w:p>
            <w:pPr>
              <w:spacing w:after="0"/>
              <w:rPr>
                <w:sz w:val="1"/>
                <w:szCs w:val="1"/>
                <w:color w:val="auto"/>
              </w:rPr>
            </w:pPr>
          </w:p>
        </w:tc>
      </w:tr>
      <w:tr>
        <w:trPr>
          <w:trHeight w:val="223"/>
        </w:trPr>
        <w:tc>
          <w:tcPr>
            <w:tcW w:w="80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312,070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237,471</w:t>
            </w:r>
          </w:p>
        </w:tc>
        <w:tc>
          <w:tcPr>
            <w:tcW w:w="0" w:type="dxa"/>
            <w:vAlign w:val="bottom"/>
          </w:tcPr>
          <w:p>
            <w:pPr>
              <w:spacing w:after="0"/>
              <w:rPr>
                <w:sz w:val="1"/>
                <w:szCs w:val="1"/>
                <w:color w:val="auto"/>
              </w:rPr>
            </w:pPr>
          </w:p>
        </w:tc>
      </w:tr>
      <w:tr>
        <w:trPr>
          <w:trHeight w:val="210"/>
        </w:trPr>
        <w:tc>
          <w:tcPr>
            <w:tcW w:w="808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Commitments and contingencies (Note 13)</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640" w:type="dxa"/>
            <w:vAlign w:val="bottom"/>
            <w:tcBorders>
              <w:top w:val="single" w:sz="8" w:color="auto"/>
            </w:tcBorders>
          </w:tcPr>
          <w:p>
            <w:pPr>
              <w:spacing w:after="0"/>
              <w:rPr>
                <w:sz w:val="19"/>
                <w:szCs w:val="19"/>
                <w:color w:val="auto"/>
              </w:rPr>
            </w:pPr>
          </w:p>
        </w:tc>
        <w:tc>
          <w:tcPr>
            <w:tcW w:w="50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11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5,000 shares authorized, no shares issued or outstanding</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8080" w:type="dxa"/>
            <w:vAlign w:val="bottom"/>
            <w:gridSpan w:val="3"/>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30,000 shares authorized, par value $0.01; 13,883 and 13,762 shares issued, as of December</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31, 2025 and 2024, respectively</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9"/>
        </w:trPr>
        <w:tc>
          <w:tcPr>
            <w:tcW w:w="80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120,811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118,415</w:t>
            </w:r>
          </w:p>
        </w:tc>
        <w:tc>
          <w:tcPr>
            <w:tcW w:w="0" w:type="dxa"/>
            <w:vAlign w:val="bottom"/>
          </w:tcPr>
          <w:p>
            <w:pPr>
              <w:spacing w:after="0"/>
              <w:rPr>
                <w:sz w:val="1"/>
                <w:szCs w:val="1"/>
                <w:color w:val="auto"/>
              </w:rPr>
            </w:pPr>
          </w:p>
        </w:tc>
      </w:tr>
      <w:tr>
        <w:trPr>
          <w:trHeight w:val="230"/>
        </w:trPr>
        <w:tc>
          <w:tcPr>
            <w:tcW w:w="80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168,771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151,508</w:t>
            </w:r>
          </w:p>
        </w:tc>
        <w:tc>
          <w:tcPr>
            <w:tcW w:w="0" w:type="dxa"/>
            <w:vAlign w:val="bottom"/>
          </w:tcPr>
          <w:p>
            <w:pPr>
              <w:spacing w:after="0"/>
              <w:rPr>
                <w:sz w:val="1"/>
                <w:szCs w:val="1"/>
                <w:color w:val="auto"/>
              </w:rPr>
            </w:pPr>
          </w:p>
        </w:tc>
      </w:tr>
      <w:tr>
        <w:trPr>
          <w:trHeight w:val="230"/>
        </w:trPr>
        <w:tc>
          <w:tcPr>
            <w:tcW w:w="80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at cost, 1,310 shares for each of December 31, 2025 and 2024, respectively</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(15,004)</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gridSpan w:val="3"/>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274,716</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255,057</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586,786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492,528</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NATURAL GAS SERVICES GROUP, INC.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earnings per share)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19"/>
                <w:szCs w:val="19"/>
                <w:color w:val="auto"/>
              </w:rPr>
            </w:pPr>
          </w:p>
        </w:tc>
      </w:tr>
      <w:tr>
        <w:trPr>
          <w:trHeight w:val="223"/>
        </w:trPr>
        <w:tc>
          <w:tcPr>
            <w:tcW w:w="6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Rental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164,326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144,236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106,159</w:t>
            </w:r>
          </w:p>
        </w:tc>
      </w:tr>
      <w:tr>
        <w:trPr>
          <w:trHeight w:val="22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8,921</w:t>
            </w:r>
          </w:p>
        </w:tc>
      </w:tr>
      <w:tr>
        <w:trPr>
          <w:trHeight w:val="230"/>
        </w:trPr>
        <w:tc>
          <w:tcPr>
            <w:tcW w:w="6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Aftermarket services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6,087</w:t>
            </w:r>
          </w:p>
        </w:tc>
      </w:tr>
      <w:tr>
        <w:trPr>
          <w:trHeight w:val="223"/>
        </w:trPr>
        <w:tc>
          <w:tcPr>
            <w:tcW w:w="6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172,315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121,167</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 (excluding depreciation and amortization):</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Rental</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48,877</w:t>
            </w:r>
          </w:p>
        </w:tc>
      </w:tr>
      <w:tr>
        <w:trPr>
          <w:trHeight w:val="230"/>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8,919</w:t>
            </w:r>
          </w:p>
        </w:tc>
      </w:tr>
      <w:tr>
        <w:trPr>
          <w:trHeight w:val="22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Aftermarket services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w:t>
            </w:r>
          </w:p>
        </w:tc>
      </w:tr>
      <w:tr>
        <w:trPr>
          <w:trHeight w:val="223"/>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cost of revenues (excluding depreciation and amortization)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62,454</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16,938</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26,550</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allowance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of rental equipment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 net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23"/>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123,417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110,710</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10,457</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w:t>
            </w: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23"/>
        </w:trPr>
        <w:tc>
          <w:tcPr>
            <w:tcW w:w="6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6,620</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4,747</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12,316</w:t>
            </w:r>
          </w:p>
        </w:tc>
      </w:tr>
      <w:tr>
        <w:trPr>
          <w:trHeight w:val="234"/>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12,383</w:t>
            </w:r>
          </w:p>
        </w:tc>
      </w:tr>
    </w:tbl>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NATURAL GAS SERVICES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460" w:type="dxa"/>
            <w:vAlign w:val="bottom"/>
          </w:tcPr>
          <w:p>
            <w:pPr>
              <w:spacing w:after="0"/>
              <w:rPr>
                <w:sz w:val="18"/>
                <w:szCs w:val="18"/>
                <w:color w:val="auto"/>
              </w:rPr>
            </w:pPr>
          </w:p>
        </w:tc>
        <w:tc>
          <w:tcPr>
            <w:tcW w:w="164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00" w:type="dxa"/>
            <w:vAlign w:val="bottom"/>
          </w:tcPr>
          <w:p>
            <w:pPr>
              <w:spacing w:after="0"/>
              <w:rPr>
                <w:sz w:val="18"/>
                <w:szCs w:val="18"/>
                <w:color w:val="auto"/>
              </w:rPr>
            </w:pPr>
          </w:p>
        </w:tc>
        <w:tc>
          <w:tcPr>
            <w:tcW w:w="164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28"/>
        </w:trPr>
        <w:tc>
          <w:tcPr>
            <w:tcW w:w="2460" w:type="dxa"/>
            <w:vAlign w:val="bottom"/>
          </w:tcPr>
          <w:p>
            <w:pPr>
              <w:spacing w:after="0"/>
              <w:rPr>
                <w:sz w:val="11"/>
                <w:szCs w:val="11"/>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1"/>
                <w:szCs w:val="11"/>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1"/>
                <w:szCs w:val="11"/>
                <w:color w:val="auto"/>
              </w:rPr>
            </w:pPr>
          </w:p>
        </w:tc>
        <w:tc>
          <w:tcPr>
            <w:tcW w:w="96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1"/>
                <w:szCs w:val="11"/>
                <w:color w:val="auto"/>
              </w:rPr>
            </w:pPr>
          </w:p>
        </w:tc>
        <w:tc>
          <w:tcPr>
            <w:tcW w:w="1180" w:type="dxa"/>
            <w:vAlign w:val="bottom"/>
          </w:tcPr>
          <w:p>
            <w:pPr>
              <w:jc w:val="center"/>
              <w:ind w:right="59"/>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14"/>
        </w:trPr>
        <w:tc>
          <w:tcPr>
            <w:tcW w:w="246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2022</w:t>
            </w:r>
          </w:p>
        </w:tc>
        <w:tc>
          <w:tcPr>
            <w:tcW w:w="70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115,411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129,534</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(15,004)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230,076</w:t>
            </w:r>
          </w:p>
        </w:tc>
        <w:tc>
          <w:tcPr>
            <w:tcW w:w="0" w:type="dxa"/>
            <w:vAlign w:val="bottom"/>
          </w:tcPr>
          <w:p>
            <w:pPr>
              <w:spacing w:after="0"/>
              <w:rPr>
                <w:sz w:val="1"/>
                <w:szCs w:val="1"/>
                <w:color w:val="auto"/>
              </w:rPr>
            </w:pP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2,054</w:t>
            </w: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stock/units</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4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Taxes paid related to net shares</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0" w:type="dxa"/>
            <w:vAlign w:val="bottom"/>
          </w:tcPr>
          <w:p>
            <w:pPr>
              <w:spacing w:after="0"/>
              <w:rPr>
                <w:sz w:val="1"/>
                <w:szCs w:val="1"/>
                <w:color w:val="auto"/>
              </w:rPr>
            </w:pP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 of equity awards</w:t>
            </w: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4,747</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4,747</w:t>
            </w:r>
          </w:p>
        </w:tc>
        <w:tc>
          <w:tcPr>
            <w:tcW w:w="0" w:type="dxa"/>
            <w:vAlign w:val="bottom"/>
          </w:tcPr>
          <w:p>
            <w:pPr>
              <w:spacing w:after="0"/>
              <w:rPr>
                <w:sz w:val="1"/>
                <w:szCs w:val="1"/>
                <w:color w:val="auto"/>
              </w:rPr>
            </w:pPr>
          </w:p>
        </w:tc>
      </w:tr>
      <w:tr>
        <w:trPr>
          <w:trHeight w:val="207"/>
        </w:trPr>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December 31, 2023</w:t>
            </w:r>
          </w:p>
        </w:tc>
        <w:tc>
          <w:tcPr>
            <w:tcW w:w="70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13,688</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116,480</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134,281</w:t>
            </w:r>
          </w:p>
        </w:tc>
        <w:tc>
          <w:tcPr>
            <w:tcW w:w="140" w:type="dxa"/>
            <w:vAlign w:val="bottom"/>
            <w:tcBorders>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(15,004)</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235,894</w:t>
            </w: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w:t>
            </w:r>
          </w:p>
        </w:tc>
        <w:tc>
          <w:tcPr>
            <w:tcW w:w="0" w:type="dxa"/>
            <w:vAlign w:val="bottom"/>
          </w:tcPr>
          <w:p>
            <w:pPr>
              <w:spacing w:after="0"/>
              <w:rPr>
                <w:sz w:val="1"/>
                <w:szCs w:val="1"/>
                <w:color w:val="auto"/>
              </w:rPr>
            </w:pP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restricted stock/units</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0" w:type="dxa"/>
            <w:vAlign w:val="bottom"/>
          </w:tcPr>
          <w:p>
            <w:pPr>
              <w:spacing w:after="0"/>
              <w:rPr>
                <w:sz w:val="1"/>
                <w:szCs w:val="1"/>
                <w:color w:val="auto"/>
              </w:rPr>
            </w:pPr>
          </w:p>
        </w:tc>
      </w:tr>
      <w:tr>
        <w:trPr>
          <w:trHeight w:val="162"/>
        </w:trPr>
        <w:tc>
          <w:tcPr>
            <w:tcW w:w="24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Taxes paid related to net shares</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 of equity awards</w:t>
            </w: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17,227</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17,227</w:t>
            </w:r>
          </w:p>
        </w:tc>
        <w:tc>
          <w:tcPr>
            <w:tcW w:w="0" w:type="dxa"/>
            <w:vAlign w:val="bottom"/>
          </w:tcPr>
          <w:p>
            <w:pPr>
              <w:spacing w:after="0"/>
              <w:rPr>
                <w:sz w:val="1"/>
                <w:szCs w:val="1"/>
                <w:color w:val="auto"/>
              </w:rPr>
            </w:pPr>
          </w:p>
        </w:tc>
      </w:tr>
      <w:tr>
        <w:trPr>
          <w:trHeight w:val="207"/>
        </w:trPr>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December 31, 2024</w:t>
            </w:r>
          </w:p>
        </w:tc>
        <w:tc>
          <w:tcPr>
            <w:tcW w:w="70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13,762</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118,415</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151,508</w:t>
            </w:r>
          </w:p>
        </w:tc>
        <w:tc>
          <w:tcPr>
            <w:tcW w:w="140" w:type="dxa"/>
            <w:vAlign w:val="bottom"/>
            <w:tcBorders>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(15,004)</w:t>
            </w:r>
          </w:p>
        </w:tc>
        <w:tc>
          <w:tcPr>
            <w:tcW w:w="1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255,057</w:t>
            </w:r>
          </w:p>
        </w:tc>
        <w:tc>
          <w:tcPr>
            <w:tcW w:w="0" w:type="dxa"/>
            <w:vAlign w:val="bottom"/>
          </w:tcPr>
          <w:p>
            <w:pPr>
              <w:spacing w:after="0"/>
              <w:rPr>
                <w:sz w:val="1"/>
                <w:szCs w:val="1"/>
                <w:color w:val="auto"/>
              </w:rPr>
            </w:pPr>
          </w:p>
        </w:tc>
      </w:tr>
      <w:tr>
        <w:trPr>
          <w:trHeight w:val="212"/>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2,126</w:t>
            </w:r>
          </w:p>
        </w:tc>
        <w:tc>
          <w:tcPr>
            <w:tcW w:w="0" w:type="dxa"/>
            <w:vAlign w:val="bottom"/>
          </w:tcPr>
          <w:p>
            <w:pPr>
              <w:spacing w:after="0"/>
              <w:rPr>
                <w:sz w:val="1"/>
                <w:szCs w:val="1"/>
                <w:color w:val="auto"/>
              </w:rPr>
            </w:pPr>
          </w:p>
        </w:tc>
      </w:tr>
      <w:tr>
        <w:trPr>
          <w:trHeight w:val="162"/>
        </w:trPr>
        <w:tc>
          <w:tcPr>
            <w:tcW w:w="24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Vesting of restricted stock/units and</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performance share units</w:t>
            </w: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162"/>
        </w:trPr>
        <w:tc>
          <w:tcPr>
            <w:tcW w:w="24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Taxes paid related to net shares</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 of equity awards</w:t>
            </w: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(2,665)</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(2,665)</w:t>
            </w:r>
          </w:p>
        </w:tc>
        <w:tc>
          <w:tcPr>
            <w:tcW w:w="0" w:type="dxa"/>
            <w:vAlign w:val="bottom"/>
          </w:tcPr>
          <w:p>
            <w:pPr>
              <w:spacing w:after="0"/>
              <w:rPr>
                <w:sz w:val="1"/>
                <w:szCs w:val="1"/>
                <w:color w:val="auto"/>
              </w:rPr>
            </w:pPr>
          </w:p>
        </w:tc>
      </w:tr>
      <w:tr>
        <w:trPr>
          <w:trHeight w:val="213"/>
        </w:trPr>
        <w:tc>
          <w:tcPr>
            <w:tcW w:w="2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19,928</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19,928</w:t>
            </w:r>
          </w:p>
        </w:tc>
        <w:tc>
          <w:tcPr>
            <w:tcW w:w="0" w:type="dxa"/>
            <w:vAlign w:val="bottom"/>
          </w:tcPr>
          <w:p>
            <w:pPr>
              <w:spacing w:after="0"/>
              <w:rPr>
                <w:sz w:val="1"/>
                <w:szCs w:val="1"/>
                <w:color w:val="auto"/>
              </w:rPr>
            </w:pPr>
          </w:p>
        </w:tc>
      </w:tr>
      <w:tr>
        <w:trPr>
          <w:trHeight w:val="237"/>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2025</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168,771</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(15,004)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274,716</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NATURAL GAS SERVICES GROUP, INC.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6"/>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auto"/>
            </w:tcBorders>
          </w:tcPr>
          <w:p>
            <w:pPr>
              <w:spacing w:after="0"/>
              <w:rPr>
                <w:sz w:val="19"/>
                <w:szCs w:val="19"/>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19,928</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17,227</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w:t>
            </w:r>
          </w:p>
        </w:tc>
      </w:tr>
      <w:tr>
        <w:trPr>
          <w:trHeight w:val="230"/>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 operating activities: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9"/>
        </w:trPr>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26,550</w:t>
            </w:r>
          </w:p>
        </w:tc>
      </w:tr>
      <w:tr>
        <w:trPr>
          <w:trHeight w:val="230"/>
        </w:trPr>
        <w:tc>
          <w:tcPr>
            <w:tcW w:w="6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Impairments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29"/>
        </w:trPr>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Inventory allowance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w:t>
            </w:r>
          </w:p>
        </w:tc>
      </w:tr>
      <w:tr>
        <w:trPr>
          <w:trHeight w:val="230"/>
        </w:trPr>
        <w:tc>
          <w:tcPr>
            <w:tcW w:w="6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Retirement of rental equipment</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29"/>
        </w:trPr>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Gain on the disposition of assets,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30"/>
        </w:trPr>
        <w:tc>
          <w:tcPr>
            <w:tcW w:w="6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29"/>
        </w:trPr>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r>
      <w:tr>
        <w:trPr>
          <w:trHeight w:val="230"/>
        </w:trPr>
        <w:tc>
          <w:tcPr>
            <w:tcW w:w="6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w:t>
            </w:r>
          </w:p>
        </w:tc>
      </w:tr>
      <w:tr>
        <w:trPr>
          <w:trHeight w:val="229"/>
        </w:trPr>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30"/>
        </w:trPr>
        <w:tc>
          <w:tcPr>
            <w:tcW w:w="6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(Gain) loss on company owned life insurance</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29"/>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Trade accounts receivables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(25,010)</w:t>
            </w:r>
          </w:p>
        </w:tc>
      </w:tr>
      <w:tr>
        <w:trPr>
          <w:trHeight w:val="229"/>
        </w:trPr>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30"/>
        </w:trPr>
        <w:tc>
          <w:tcPr>
            <w:tcW w:w="6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Prepaid expenses, income taxes receivable and prepayments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r>
      <w:tr>
        <w:trPr>
          <w:trHeight w:val="230"/>
        </w:trPr>
        <w:tc>
          <w:tcPr>
            <w:tcW w:w="6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2"/>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66,463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18,033</w:t>
            </w:r>
          </w:p>
        </w:tc>
      </w:tr>
      <w:tr>
        <w:trPr>
          <w:trHeight w:val="22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Purchase of rental equipment, property and other equipment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(153,943)</w:t>
            </w:r>
          </w:p>
        </w:tc>
      </w:tr>
      <w:tr>
        <w:trPr>
          <w:trHeight w:val="230"/>
        </w:trPr>
        <w:tc>
          <w:tcPr>
            <w:tcW w:w="6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Purchase of company owned life insurance, net</w:t>
            </w:r>
          </w:p>
        </w:tc>
        <w:tc>
          <w:tcPr>
            <w:tcW w:w="3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9"/>
        </w:trPr>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Proceeds received from insurance for damages to equipment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Proceeds from disposition of assets, net</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22"/>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(153,888)</w:t>
            </w:r>
          </w:p>
        </w:tc>
      </w:tr>
      <w:tr>
        <w:trPr>
          <w:trHeight w:val="22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Proceeds from credit facility borrowings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139,000</w:t>
            </w:r>
          </w:p>
        </w:tc>
      </w:tr>
      <w:tr>
        <w:trPr>
          <w:trHeight w:val="230"/>
        </w:trPr>
        <w:tc>
          <w:tcPr>
            <w:tcW w:w="6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Repayments of credit facility borrowings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Payments of other long term liabilities</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0"/>
        </w:trPr>
        <w:tc>
          <w:tcPr>
            <w:tcW w:w="6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w:t>
            </w:r>
          </w:p>
        </w:tc>
      </w:tr>
      <w:tr>
        <w:trPr>
          <w:trHeight w:val="229"/>
        </w:trPr>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Payment of dividends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2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135,229</w:t>
            </w:r>
          </w:p>
        </w:tc>
      </w:tr>
      <w:tr>
        <w:trPr>
          <w:trHeight w:val="222"/>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w:t>
            </w:r>
          </w:p>
        </w:tc>
      </w:tr>
      <w:tr>
        <w:trPr>
          <w:trHeight w:val="222"/>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4"/>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Interest paid</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14,793</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18,394</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7,053</w:t>
            </w:r>
          </w:p>
        </w:tc>
      </w:tr>
      <w:tr>
        <w:trPr>
          <w:trHeight w:val="230"/>
        </w:trPr>
        <w:tc>
          <w:tcPr>
            <w:tcW w:w="6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taxes paid, net of refunds received</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TRANSACTIONS: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Transfer of rental equipment to inventory</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29"/>
        </w:trPr>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Transfer of right of use assets to property and equipment</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Transfer of property and equipment to assets held for sale</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purchases of property and equipment</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Right of use assets acquired through a finance lease</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r>
      <w:tr>
        <w:trPr>
          <w:trHeight w:val="228"/>
        </w:trPr>
        <w:tc>
          <w:tcPr>
            <w:tcW w:w="6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Right of use assets acquired through an operating lease</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bl>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ectPr>
          <w:pgSz w:w="11900" w:h="16838" w:orient="portrait"/>
          <w:cols w:equalWidth="0" w:num="1">
            <w:col w:w="11240"/>
          </w:cols>
          <w:pgMar w:left="320" w:top="920"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type w:val="continuous"/>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NATURAL GAS SERVICES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 or where otherwise indicated)</w:t>
      </w:r>
    </w:p>
    <w:p>
      <w:pPr>
        <w:spacing w:after="0" w:line="2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Description of Business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Natural Gas Services Group, Inc. (the “Company,” “NGS,” “Natural Gas Services Group,” “we,” “us” or “our”) (a Colorado corporation), is a leading provider of natural gas and electric compression equipment, technology and services to the energy industry. We rent, design, install, service and maintain compressors and related equipment and parts for our customers’ oil and gas production and processing facilities, generally using equipment from OEM suppliers along with limited in-house assembly. We are headquartered in Southlake, Texas, with administrative offices in Midland, Texas, an engineering facility located in Tulsa, Oklahoma, and service facilities located in major oil and gas producing basins in the continental United States (“U.S.”).</w:t>
      </w:r>
    </w:p>
    <w:p>
      <w:pPr>
        <w:spacing w:after="0" w:line="1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Basis of Presentation</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were prepared in accordance with generally accepted accounting principles in the United States of America (“GAAP”) and the rules and regulations of the Securities and Exchange Commission (the “SEC”) and include the accounts of the Company, its subsidiary, NGSG Properties, LLC and the rabbi trust associated with our deferred compensation plan (</w:t>
      </w:r>
      <w:r>
        <w:rPr>
          <w:rFonts w:ascii="Times New Roman" w:cs="Times New Roman" w:eastAsia="Times New Roman" w:hAnsi="Times New Roman"/>
          <w:sz w:val="18"/>
          <w:szCs w:val="18"/>
          <w:u w:val="single" w:color="auto"/>
          <w:color w:val="0000FF"/>
        </w:rPr>
        <w:t>see Note 12</w:t>
      </w:r>
      <w:r>
        <w:rPr>
          <w:rFonts w:ascii="Times New Roman" w:cs="Times New Roman" w:eastAsia="Times New Roman" w:hAnsi="Times New Roman"/>
          <w:sz w:val="18"/>
          <w:szCs w:val="18"/>
          <w:color w:val="auto"/>
        </w:rPr>
        <w:t>). All significant intercompany accounts and transactions for the periods presented have been eliminated in consolidation.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GAAP requires our management to make estimates and assumptions that affect the amounts reported in these Consolidated Financial Statements and accompanying notes. Actual results could differ from those estimates. Significant estimates include fixed asset lives, provision for credit losses, the allowance for inventory obsolescence and the determination of carrying values in excess of fair values, when applicable, in connection with our annual review of our long-lived assets for impairment.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purposes of reporting cash and cash equivalents and cash flows, we consider all short-term investments with an original maturity of three months or less to be cash equivalents. At times, cash balances at banks and financial institutions may exceed federally insured amounts.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Credit Losses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trade accounts receivable are generally for 30 days in accordance with the payment terms specified in our master rental service and similar agreements. Our trade accounts receivable are substantially concentrated with customers in the exploration and production industry and range from large, multinational majors to regional firms of various sizes. We perform ongoing credit evaluations of our customers and adjust credit limits based on management’s assessment of the customer’s financial condition and payment history, as well as industry and general economic conditions. We continuously monitor collections and payments from our customers, and maintain an allowance for estimated credit losses based upon our historical experience and any specific customer collection issues that we have identified as well as forecasts of future economic conditions. While such credit losses have historically been within our expectations and the allowance established, we cannot guarantee that we will continue to experience the same credit loss rates that we have in the past.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18"/>
          <w:szCs w:val="18"/>
          <w:color w:val="auto"/>
        </w:rPr>
        <w:t>The following is a description of principal activities from which we generate our revenue and the accounting policies that we apply for the recognition thereof:</w:t>
      </w:r>
    </w:p>
    <w:p>
      <w:pPr>
        <w:spacing w:after="0" w:line="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Rental Revenue</w:t>
      </w:r>
      <w:r>
        <w:rPr>
          <w:rFonts w:ascii="Times New Roman" w:cs="Times New Roman" w:eastAsia="Times New Roman" w:hAnsi="Times New Roman"/>
          <w:sz w:val="18"/>
          <w:szCs w:val="18"/>
          <w:color w:val="auto"/>
        </w:rPr>
        <w:t>. We generate revenue from renting compressor equipment to our customers for the right to control the use of the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ratably over the term of the underlying master rental service and similar agreements. Our agreements for rental equipment qualify as operating leases under the Financial Accounting Standards Board’s (“FASB”) Accounting Standards Codification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 amended (“ASC 842”), as we retain the primary exposure to changes in the underlying equipment’s value as the lessor unlike a sale or secured lending arrangement. Our agreements may also include a fee for servicing the equipment and surcharges for fluids, including oil, during the term of the underlying rental agreement. We have applied the practical expedient provided in ASC 842, which allows us to combine lease and non-lease components. Our rental agreements typically range from 12 to 60 months.</w:t>
      </w:r>
    </w:p>
    <w:p>
      <w:pPr>
        <w:spacing w:after="0" w:line="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lessor, we recognize operating lease revenue on a straight-line basis with equal monthly payments over the term of the underlying agreements. After the terms of the agreement have expired, a customer may renew their contract or continue renting on a monthly basis thereafter. The leased equipment is generally skid-mounted and can be moved to different locations at the direction of our customers. The leased equipment assets remain on our Consolidated Balance Sheets consistent with other property and equipment. Cash receipts associated with our lease agreements are classified within cash flows from operating activities in our Consolidated Statements of Cash Flows.</w:t>
      </w:r>
    </w:p>
    <w:p>
      <w:pPr>
        <w:spacing w:after="0" w:line="19" w:lineRule="exact"/>
        <w:rPr>
          <w:sz w:val="20"/>
          <w:szCs w:val="20"/>
          <w:color w:val="auto"/>
        </w:rPr>
      </w:pPr>
    </w:p>
    <w:p>
      <w:pPr>
        <w:jc w:val="both"/>
        <w:ind w:right="20" w:firstLine="648"/>
        <w:spacing w:after="0" w:line="281" w:lineRule="auto"/>
        <w:rPr>
          <w:sz w:val="20"/>
          <w:szCs w:val="20"/>
          <w:color w:val="auto"/>
        </w:rPr>
      </w:pPr>
      <w:r>
        <w:rPr>
          <w:rFonts w:ascii="Times New Roman" w:cs="Times New Roman" w:eastAsia="Times New Roman" w:hAnsi="Times New Roman"/>
          <w:sz w:val="18"/>
          <w:szCs w:val="18"/>
          <w:i w:val="1"/>
          <w:iCs w:val="1"/>
          <w:color w:val="auto"/>
        </w:rPr>
        <w:t xml:space="preserve">Sales and Aftermarket Services Revenue. </w:t>
      </w:r>
      <w:r>
        <w:rPr>
          <w:rFonts w:ascii="Times New Roman" w:cs="Times New Roman" w:eastAsia="Times New Roman" w:hAnsi="Times New Roman"/>
          <w:sz w:val="18"/>
          <w:szCs w:val="18"/>
          <w:color w:val="auto"/>
        </w:rPr>
        <w:t>We generate revenue from the sale of component parts as well as exchange/rebuilding customer 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compressors and sale of used rental equipment. We also provide routine aftermarket or call-out services on customer owned equipment.</w:t>
      </w:r>
    </w:p>
    <w:p>
      <w:pPr>
        <w:spacing w:after="0" w:line="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Consistent with ASC Topic 606, </w:t>
      </w:r>
      <w:r>
        <w:rPr>
          <w:rFonts w:ascii="Times New Roman" w:cs="Times New Roman" w:eastAsia="Times New Roman" w:hAnsi="Times New Roman"/>
          <w:sz w:val="18"/>
          <w:szCs w:val="18"/>
          <w:i w:val="1"/>
          <w:iCs w:val="1"/>
          <w:color w:val="auto"/>
        </w:rPr>
        <w:t>Revenues from Contracts with Customers</w:t>
      </w:r>
      <w:r>
        <w:rPr>
          <w:rFonts w:ascii="Times New Roman" w:cs="Times New Roman" w:eastAsia="Times New Roman" w:hAnsi="Times New Roman"/>
          <w:sz w:val="18"/>
          <w:szCs w:val="18"/>
          <w:color w:val="auto"/>
        </w:rPr>
        <w:t>, as amended (“ASC 606”), revenue is measured and recognized based on a consideration specified in a customer’s contract, excluding any sale incentives and taxes collected on behalf of third parties (i.e. sales and property taxes). Revenue is recognized when a customer obtains control of promised goods or services in an amount that reflects the consideration that we expect to receive for those goods or services. To recognize revenue, we (i) identify the contract(s) with a customer; (ii) identify the performance obligations in the contract; (iii) determine the transaction price; (iv) allocate the transaction price to the performance obligations in the contract; and (v) recognize revenue when, or as, we satisfy the performance obligation(s). Transaction prices are not subject to variable consideration constraints. Shipping and handling costs incurred are accounted for as fulfillment costs and are included in cost of revenues in our Consolidated Statements of Operations.</w:t>
      </w:r>
    </w:p>
    <w:p>
      <w:pPr>
        <w:spacing w:after="0" w:line="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sales, revenue is recognized when control has passed to the customer generally when the equipment is completed and shipped. These contracts also may include an assurance warranty clause to guarantee the product is free from defects in material and workmanship for a set duration of time; this is a standard industry practice and is not considered a performance obligation. The amount of revenue recognized is not adjusted for expected returns, as our historical returns have been de minimis. Revenue for aftermarket and other services is recognized after the services in the contract are rendered.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Inventory (current and long-term) is valued at the lower of cost or net realizable value. The cost of inventories is determined by the weighted average method. We regularly review inventory quantities on hand and record a provision for excess and obsolete inventory based primarily on current and anticipated customer demand and assembly requirements. We routinely review our inventory allowance to account for slow moving or obsolete inventory costs that may not be recoverable in the future. We assess anticipated customer demand based on current and upcoming activities and budgets of our major customers as well as other significant companies in the industry, along with oil and gas price forecasts and other factors affecting the industry. Our long-term inventory, which is fully reserved, consisted of raw materials and replacement parts that remain viable but with limited marketing opportunities.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Rental equipment and property and equipment are recorded at cost less accumulated depreciation, except for work-in-progress on new rental equipment which is recorded at cost until completion and addition to our fleet. Depreciation is computed using the straight-line method over the estimated useful lives of the major asset categories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equipment</w:t>
            </w:r>
          </w:p>
        </w:tc>
        <w:tc>
          <w:tcPr>
            <w:tcW w:w="3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years</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3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years</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equipment and furniture</w:t>
            </w:r>
          </w:p>
        </w:tc>
        <w:tc>
          <w:tcPr>
            <w:tcW w:w="3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years</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3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years</w:t>
            </w: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34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years</w:t>
            </w:r>
          </w:p>
        </w:tc>
      </w:tr>
    </w:tbl>
    <w:p>
      <w:pPr>
        <w:spacing w:after="0" w:line="13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assess our rental equipment and property and equipment for impairment whenever events or changes in circumstances indicate that the carrying value may not be recoverable. The following factors could trigger an impairment review: significant underperformance relative to historical or projected future cash flows; significant adverse changes in the extent or manner in which the asset (or asset group) is being used or its condition, including a meaningful drop in fleet utilization over the prior four quarters; significant negative industry or company-specific trends or actions, including meaningful activity and budget reductions by our major customers or other sizable exploration and production or midstream companies, as well as significant declines in oil and gas prices; legislative changes prohibiting us from leasing our compressor units; or poor general economic conditions. An impairment loss is recognized if the future undiscounted cash flows associated with the asset (or asset group) and the estimated fair value of the asset are less than the asset’s carrying value.</w:t>
      </w:r>
    </w:p>
    <w:p>
      <w:pPr>
        <w:spacing w:after="0" w:line="3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of equipment out of the rental fleet are included with sales revenue and cost of sales, while retirements of units are presented as a separate operating expense. Maintenance and repairs are charged to cost of rentals as incurred.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amortize intangible assets with definite lives over their useful lives and review for impairment when indicators of impairment are present. We review indefinite-lived intangible assets for impairment annually or when indicators of impairment are present. We review intangibles through an assessment of the estimated future cash flows related to such assets. In the event that assets are found to be carried at amounts in excess of estimated undiscounted future cash flows, then the assets will be adjusted for impairment to a level commensurate with a discounted cash flow analysis of the underlying assets. As of December 31, 2024, we no longer have any intangible assets. Amortization expense attributable to our former intangible assets was $0.1 million for each of the years ending December 31, 2024 and 2023. We also incurred an impairment charge of $0.7 million for an intangible asset attributable to a trade name during the year ended December 31,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determine if an arrangement is a lease at inception by assessing whether it conveys the right to control the use of an identified asset for a period of time in exchange for consideration. We determine lease classification and recognize right-of-use (“ROU”) assets and liabilities on the lease commencement date based on the present value of lease payments over the lease term. For each lease that (i) contains the same timing and pattern of transfer for lease and non-lease components and (ii) if the lease component, if accounted for separately, would be classified as an operating lease, we have elected the practical expedient to not separate non-lease components from lease components. ROU assets and lease liabilities are recognized at the lease commencement date based on the present value of lease payments over the lease term. As substantially all of our leases do not provide an implicit rate, we use our incremental borrowing rate, which is based on a fully collateralized loan over the lease term, to determine the present value of lease payments. Our ROU assets are included in Other assets and the related current and long-term lease obligations are included in Accrued liabilities and Other long-term liabilities, respectively,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Internal-Use Software</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maintain and utilize certain computer software applications that we own to support our business information needs. Such software is capitalized on our Consolidated Balance Sheets within Property and equipment (</w:t>
      </w:r>
      <w:r>
        <w:rPr>
          <w:rFonts w:ascii="Times New Roman" w:cs="Times New Roman" w:eastAsia="Times New Roman" w:hAnsi="Times New Roman"/>
          <w:sz w:val="18"/>
          <w:szCs w:val="18"/>
          <w:u w:val="single" w:color="auto"/>
          <w:color w:val="0000FF"/>
        </w:rPr>
        <w:t>see Note 7</w:t>
      </w:r>
      <w:r>
        <w:rPr>
          <w:rFonts w:ascii="Times New Roman" w:cs="Times New Roman" w:eastAsia="Times New Roman" w:hAnsi="Times New Roman"/>
          <w:sz w:val="18"/>
          <w:szCs w:val="18"/>
          <w:color w:val="auto"/>
        </w:rPr>
        <w:t>) that is amortized over its useful life and recognized as a component of Depreciation and amortization in our Consolidated Statements of Operations. In addition, certain of our information technology service contracts are considered hosting arrangements. Accordingly, certain qualifying costs associated with the implementation of a hosting arrangement are capitalized on our Consolidated Balance Sheets within Other assets and amortized over the term of the respective contract beginning on the date for each component of the hosting arrangement when the component is ready for its intended use. Amortization of capitalized implementation costs of our hosting arrangements are recognized in our Consolidated Statements of Operations within Selling, general and administrative expenses consistent with the fees for the associated hosting arrangement services.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temporary differences between the financial statement carrying amounts of assets and liabilities and their respective tax bases, and net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includes the statutory enactment date. Valuation allowances are established to reduce deferred tax assets when it is more likely than not that some portion or all of the deferred tax assets will not be realized.</w:t>
      </w:r>
    </w:p>
    <w:p>
      <w:pPr>
        <w:spacing w:after="0" w:line="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 respect to uncertain tax positions, GAAP prescribes a recognition threshold and measurement attribute for the financial statement recognition and measurement of a tax position taken or expected to be taken in a tax return. In order to record any financial statement benefit, we are required to determine, based on technical merits of the position, whether it is more likely than not (a likelihood of more than 50 percent) that a tax position will be sustained upon examination, including resolution of any related appeals or litigation processes. If that step is satisfied, then we must measure the tax position to determine the amount of benefit to recognize in the financial statements. The tax position is measured at the largest amount of the benefit that is greater than 50 percent likely of being realized upon ultimate settlement. We had no liabilities for uncertain tax positions as of December 31, 2025 and 2024.</w:t>
      </w:r>
    </w:p>
    <w:p>
      <w:pPr>
        <w:spacing w:after="0" w:line="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policy regarding income tax interest and penalties is to charge those items as components of interest expense and other income (expense),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Interest</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capitalize interest from external borrowings on significant expenditures for the assembly of our natural gas compressor equipment until such projects are ready for their intended use. Capitalized interest is added to the cost of the underlying asset and is amortized over the useful lives of the assets in the same manner as the underlying assets.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under current market conditions. GAAP provides for a fair value hierarchy, which requires an entity to maximize the use of observable inputs when measuring fair value. These inputs are categorized as follows: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an active market for identical assets or liabilities;</w:t>
      </w:r>
    </w:p>
    <w:p>
      <w:pPr>
        <w:spacing w:after="0" w:line="6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quoted prices in an active market for similar assets or liabilities, inputs other than quoted prices that are observable for similar assets or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inputs derived principally from or corroborated by observable market data by correlation or other means;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valuation methodology with unobservable inputs that are significant to the fair value measurement.</w:t>
      </w:r>
    </w:p>
    <w:p>
      <w:pPr>
        <w:spacing w:after="0" w:line="6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the fair value of our cash and cash equivalents, trade accounts receivables, and accounts payable as of December 31, 2025 and 2024 approximate their carrying values due to the short-term nature of the instruments or the use of prevailing market interest rates. We considered the borrowings under our credit facility to approximate fair value based upon variable interest rates currently available to us for loans with similar terms (level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 and Related Information</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GAAP defines the characteristics of an operating segment as (i) being engaged in business activity from which it may earn revenue and incur expenses, (ii) being reviewed by the Company’s chief operating decision maker (“CODM”) for decisions about resources to be allocated and assess its performance and (iii) having discrete financial information. Although we review our service and product offerings (rentals, sales and aftermarket services) to analyze the nature of our revenue, costs and expenses, the net income and non-GAAP financial measures including EBITDA and Adjusted gross margin are not captured or analyzed by these categories. Our chief executive officer (“CEO”) serves as the CODM and does not make resource allocation decisions or assess the performance of the business based on these service and product offerings, but rather on the entire entity in the aggregate. Accordingly, the measures of profit and loss and total assets are effectively those of the Company as a whole as reflected in these Consolidated Financial Statements. Based on these facts and underlying circumstances described further below, we have concluded that we operate in one business segment.</w:t>
      </w:r>
    </w:p>
    <w:p>
      <w:pPr>
        <w:spacing w:after="0" w:line="3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primarily engaged in the business of leasing natural gas and electric compression equipment to our customers. In addition, we design, sell, install, service and maintain compressors and related equipment and parts. These business activities are similar in all geographic areas in which we operate. Our customers primarily consist of entities in the business of producing oil and gas. The maintenance and service of our products is consistent across the entire Company and is performed by a dedicated group of employees via an internal fleet of vehicles. The regulatory environment is similar in every jurisdiction in that the most impacting regulations and practices are the result of federal energy policy.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(“ASU”) 2023-09 “</w:t>
      </w:r>
      <w:r>
        <w:rPr>
          <w:rFonts w:ascii="Times New Roman" w:cs="Times New Roman" w:eastAsia="Times New Roman" w:hAnsi="Times New Roman"/>
          <w:sz w:val="18"/>
          <w:szCs w:val="18"/>
          <w:i w:val="1"/>
          <w:iCs w:val="1"/>
          <w:color w:val="auto"/>
        </w:rPr>
        <w:t>Income Taxes (Topics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(“ASU 2023-09”) to expand the disclosure requirements for income taxes, specifically related to the rate reconciliation and income taxes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We elected to early adopt ASU 2023-09 effective with our financial reporting for the year ended December 31, 2024 and have applied the provisions on a retrospective basis for all periods presented in these Consolidated Financial Statements. Accordingly, the enhanced disclosures required of ASU 2023-09 are provided in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w:t>
      </w:r>
    </w:p>
    <w:p>
      <w:pPr>
        <w:spacing w:after="0" w:line="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which expands annual and interim disclosure requirements for reportable segments, primarily through enhanced disclosures about significant segment expenses. We adopted ASU 2023-07 effective January 1, 2024 and the required disclosures are referenced above in our discussion of </w:t>
      </w:r>
      <w:r>
        <w:rPr>
          <w:rFonts w:ascii="Times New Roman" w:cs="Times New Roman" w:eastAsia="Times New Roman" w:hAnsi="Times New Roman"/>
          <w:sz w:val="18"/>
          <w:szCs w:val="18"/>
          <w:i w:val="1"/>
          <w:iCs w:val="1"/>
          <w:color w:val="auto"/>
        </w:rPr>
        <w:t>Segments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Related Information.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Pending Adoption</w:t>
      </w:r>
    </w:p>
    <w:p>
      <w:pPr>
        <w:spacing w:after="0" w:line="11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w:t>
      </w:r>
      <w:r>
        <w:rPr>
          <w:rFonts w:ascii="Times New Roman" w:cs="Times New Roman" w:eastAsia="Times New Roman" w:hAnsi="Times New Roman"/>
          <w:sz w:val="18"/>
          <w:szCs w:val="18"/>
          <w:color w:val="auto"/>
        </w:rPr>
        <w:t>” (“ASU 2024-03”) which expands annual and interim disclosures expenses for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types of expenses (including purchases of inventory, employee compensation, depreciation, amortization, and depletion) in commonly presented expense captions (such as cost of sales, selling, general &amp; administrative expenses, and research and development). ASU 2024-03 is effective for annual periods beginning January 1, 2027, and for interim periods beginning January 1, 2028, with early adoption permitted. The adoption of ASU 2024-03 is not expected to have a material impact on our Consolidated Financial Statements or disclosures.</w:t>
      </w:r>
    </w:p>
    <w:p>
      <w:pPr>
        <w:spacing w:after="0" w:line="1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Trade Accounts Receivable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trade accounts receivable from customers as of the dates presented: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r>
      <w:tr>
        <w:trPr>
          <w:trHeight w:val="223"/>
        </w:trPr>
        <w:tc>
          <w:tcPr>
            <w:tcW w:w="80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Rentals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16,565</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14,218</w:t>
            </w:r>
          </w:p>
        </w:tc>
      </w:tr>
      <w:tr>
        <w:trPr>
          <w:trHeight w:val="230"/>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aftermarket services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r>
      <w:tr>
        <w:trPr>
          <w:trHeight w:val="223"/>
        </w:trPr>
        <w:tc>
          <w:tcPr>
            <w:tcW w:w="8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16,875</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Provision for credit losses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trade accounts receivable, net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18,497</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15,626</w:t>
            </w:r>
          </w:p>
        </w:tc>
      </w:tr>
      <w:tr>
        <w:trPr>
          <w:trHeight w:val="20"/>
        </w:trPr>
        <w:tc>
          <w:tcPr>
            <w:tcW w:w="8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trade accounts receivable consist of customer obligations due under normal trade terms for (i) operating leases for the use of our compressors,</w:t>
      </w:r>
    </w:p>
    <w:p>
      <w:pPr>
        <w:spacing w:after="0" w:line="27" w:lineRule="exact"/>
        <w:rPr>
          <w:sz w:val="20"/>
          <w:szCs w:val="20"/>
          <w:color w:val="auto"/>
        </w:rPr>
      </w:pPr>
    </w:p>
    <w:p>
      <w:pPr>
        <w:ind w:firstLine="8"/>
        <w:spacing w:after="0" w:line="260" w:lineRule="auto"/>
        <w:tabs>
          <w:tab w:leader="none" w:pos="27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custom/assembled compressors and parts, as well as exchange/rebuilding customer owned compressors and sale of used rental equipment and (iii) the performance of aftermarket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Major Customers and Concentration of Credit Risk</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Rental revenue and sales from Occidental Permian, LTD. (“Oxy”) and Devon Energy Corporation (“Devon”) in 2025, 2024 and 2023 amounted to 59 percent, 59 percent and 52 percent of revenue on a combined basis, respectively. No other single customer accounted for more than 10 percent of our revenues in 2025, 2024 and 2023. Oxy’s and Devon’s accounts receivable balances amounted to 62 percent and 60 percent of our accounts receivable as of December 31, 2025 and 2024, respectively. No other customers amounted to more than 10 percent of our accounts receivable on a combined basis as of December 31, 2025 and 2024,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our provision for credit losses for the periods presented: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r>
      <w:tr>
        <w:trPr>
          <w:trHeight w:val="223"/>
        </w:trPr>
        <w:tc>
          <w:tcPr>
            <w:tcW w:w="64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(1,087)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1"/>
        </w:trPr>
        <w:tc>
          <w:tcPr>
            <w:tcW w:w="6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Management believes that the provision is adequate; however, actual write-offs may exceed the recorded allowance. The substantial write-off of the provision for credit losses during 2025 reflects certain aged receivables that are no longer deemed collectible.</w:t>
      </w:r>
    </w:p>
    <w:p>
      <w:pPr>
        <w:spacing w:after="0" w:line="10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Inventory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of our inventory, net of allowances for obsolescence as of the dates presented: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r>
      <w:tr>
        <w:trPr>
          <w:trHeight w:val="223"/>
        </w:trPr>
        <w:tc>
          <w:tcPr>
            <w:tcW w:w="80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Parts and supplies, net of allowance of $2,552 and $4,379, respectively</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20,104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17,706</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 current</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20,647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18,051</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Parts and supplies - long term, net of allowance of $1,020 and $1,488, respectively</w:t>
            </w:r>
          </w:p>
        </w:tc>
        <w:tc>
          <w:tcPr>
            <w:tcW w:w="9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20,647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18,051</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long-term inventory, which is fully reserved as of December 31, 2025 and 2024, consists of excess raw materials that remain viable but with limited market opportunities.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Obsolescence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our allowance for obsolescence for the periods presented: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4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5,867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obsolescence</w:t>
            </w:r>
          </w:p>
        </w:tc>
        <w:tc>
          <w:tcPr>
            <w:tcW w:w="96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(3,409)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3,572</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5,867</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4,004</w:t>
            </w:r>
          </w:p>
        </w:tc>
      </w:tr>
      <w:tr>
        <w:trPr>
          <w:trHeight w:val="21"/>
        </w:trPr>
        <w:tc>
          <w:tcPr>
            <w:tcW w:w="6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allowance for 2023 was primarily related to our decision to cease future compressor assembly at our Midland, Texas facility, which reduced the expected future demand of certain inventory items that were held at this facility. In 2024 and 2025, we continued actions in support of our strategy to further outsource assembly activities to third parties limiting our ability to market certain assembled parts resulting in an additional allowance charges.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8" w:name="page59"/>
    <w:bookmarkEnd w:id="58"/>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Assets Held for Sale and Restructuring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Midland Facility</w:t>
      </w:r>
    </w:p>
    <w:p>
      <w:pPr>
        <w:spacing w:after="0" w:line="6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second quarter of 2025, we completed all activities necessary to terminate operations at our facility in Midland, Texas (the “Midland Facility”) and prepared the site, which includes an industrial building and land, for sale. Accordingly, depreciation of the facility was suspended and the combined net carrying value of the building and land, or $2.2 million, was reclassified from property and equipment to an asset held for sale included as a component of current assets on our Consolidated Balance Sheet as of June 30, 2025. We have engaged a broker and are actively marketing the facility. The closure of the Midland Facility was part of our strategy to streamline and outsource our assembly operations and monetize company-owned real estate as disclosed previously. We anticipate that we will complete a sale transaction for the Midland Facility in 2026.</w:t>
      </w:r>
    </w:p>
    <w:p>
      <w:pPr>
        <w:spacing w:after="0" w:line="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Beginning in the first quarter of 2025, all equipment with continuing productive value was transferred from the Midland Facility to certain of our other regional service centers. By the end of April 2025, the Midland Facility was completely vacant in anticipation of the eventual sale. In addition, we disposed of all inventory items, including engines, frames and coolers, among other items that were fully reserved (see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w:t>
      </w:r>
    </w:p>
    <w:p>
      <w:pPr>
        <w:spacing w:after="0" w:line="14"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18"/>
          <w:szCs w:val="18"/>
          <w:color w:val="auto"/>
        </w:rPr>
        <w:t>In connection with the complete closure of the Midland Facility, we terminated eight employees and incurred $0.1 million of severance and termination benefits all of which were paid and settled during April 2025.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Restructuring Activities</w:t>
      </w:r>
    </w:p>
    <w:p>
      <w:pPr>
        <w:spacing w:after="0" w:line="67"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During the year ended December 31, 2024, we incurred and paid an amount less than $0.1 million associated with certain restructuring activities at our assembly facilities for which there were no amounts remaining outstanding.</w:t>
      </w:r>
    </w:p>
    <w:p>
      <w:pPr>
        <w:spacing w:after="0" w:line="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we incurred certain restructuring charges in the form of severance and related compensation benefits in connection with a transition in executive leadership. Accordingly, we incurred $1.2 million in severance and related compensation charges in connection with our former CEO for which there were no amounts remaining outstanding with respect to this action.</w:t>
      </w:r>
    </w:p>
    <w:p>
      <w:pPr>
        <w:spacing w:after="0" w:line="11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Rental Equipment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rental equipment and accumulated depreciation as of the dates presented: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r>
      <w:tr>
        <w:trPr>
          <w:trHeight w:val="223"/>
        </w:trPr>
        <w:tc>
          <w:tcPr>
            <w:tcW w:w="80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Compressor units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712,693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579,373</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Work-in-progress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24,894</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51,662</w:t>
            </w:r>
          </w:p>
        </w:tc>
      </w:tr>
      <w:tr>
        <w:trPr>
          <w:trHeight w:val="223"/>
        </w:trPr>
        <w:tc>
          <w:tcPr>
            <w:tcW w:w="8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737,587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631,035</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(239,062)</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(216,014)</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equipment, net of accumulated depreciation</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498,525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415,021</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evaluated our rental equipment for potential impairment as of December 31, 2025 and 2024 and determined that none were present. We capitalized interest totaling approximately $2.5 million, $4.7 million and $5.5 million in connection with the acquisition and assembly of compressor units for the years ended December 31, 2025 and 2024 and 2023, respectively. Depreciation expense for rental equipment was $32.7 million, $28.2 million and $24.0 million for the years ended December 31, 2025, 2024 and 2023,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of Rental Equipment</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routinely review our rental fleet for retirement or obsolescence as well as an assessment to determine which units are not of the type, configuration, make or model that our customers are demanding or that are not cost efficient to refurbish, maintain and/or operate. As a result of these reviews, we recorded charges for the retirement of rental equipment of $0.7 million, less than $0.1 million and $0.5 million during the years ended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Rental Activity</w:t>
      </w:r>
    </w:p>
    <w:p>
      <w:pPr>
        <w:spacing w:after="0" w:line="12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Future minimum rent payments for the periods presented due as of December 31, 2025 from our customers for contractual arrangements, not on a month-to-month basis, were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8120" w:type="dxa"/>
            <w:vAlign w:val="bottom"/>
            <w:gridSpan w:val="3"/>
          </w:tcPr>
          <w:p>
            <w:pPr>
              <w:jc w:val="right"/>
              <w:ind w:right="427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040" w:type="dxa"/>
            <w:vAlign w:val="bottom"/>
          </w:tcPr>
          <w:p>
            <w:pPr>
              <w:spacing w:after="0"/>
              <w:rPr>
                <w:sz w:val="20"/>
                <w:szCs w:val="20"/>
                <w:color w:val="auto"/>
              </w:rPr>
            </w:pPr>
          </w:p>
        </w:tc>
      </w:tr>
      <w:tr>
        <w:trPr>
          <w:trHeight w:val="223"/>
        </w:trPr>
        <w:tc>
          <w:tcPr>
            <w:tcW w:w="2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52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CCEEFF"/>
            </w:tcBorders>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130,082</w:t>
            </w:r>
          </w:p>
        </w:tc>
      </w:tr>
      <w:tr>
        <w:trPr>
          <w:trHeight w:val="230"/>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98,189</w:t>
            </w:r>
          </w:p>
        </w:tc>
      </w:tr>
      <w:tr>
        <w:trPr>
          <w:trHeight w:val="22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66,835</w:t>
            </w:r>
          </w:p>
        </w:tc>
      </w:tr>
      <w:tr>
        <w:trPr>
          <w:trHeight w:val="230"/>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39,213</w:t>
            </w:r>
          </w:p>
        </w:tc>
      </w:tr>
      <w:tr>
        <w:trPr>
          <w:trHeight w:val="22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7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17,519</w:t>
            </w: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351,838</w:t>
            </w:r>
          </w:p>
        </w:tc>
      </w:tr>
      <w:tr>
        <w:trPr>
          <w:trHeight w:val="20"/>
        </w:trPr>
        <w:tc>
          <w:tcPr>
            <w:tcW w:w="208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78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7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property and non-rental equipment as of the dates presented:</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4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40" w:type="dxa"/>
            <w:vAlign w:val="bottom"/>
            <w:tcBorders>
              <w:bottom w:val="single" w:sz="8" w:color="CCEEFF"/>
            </w:tcBorders>
          </w:tcPr>
          <w:p>
            <w:pPr>
              <w:spacing w:after="0"/>
              <w:rPr>
                <w:sz w:val="19"/>
                <w:szCs w:val="19"/>
                <w:color w:val="auto"/>
              </w:rPr>
            </w:pPr>
          </w:p>
        </w:tc>
        <w:tc>
          <w:tcPr>
            <w:tcW w:w="78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0" w:type="dxa"/>
            <w:vAlign w:val="bottom"/>
          </w:tcPr>
          <w:p>
            <w:pPr>
              <w:spacing w:after="0"/>
              <w:rPr>
                <w:sz w:val="1"/>
                <w:szCs w:val="1"/>
                <w:color w:val="auto"/>
              </w:rPr>
            </w:pPr>
          </w:p>
        </w:tc>
      </w:tr>
      <w:tr>
        <w:trPr>
          <w:trHeight w:val="230"/>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19,140</w:t>
            </w:r>
          </w:p>
        </w:tc>
        <w:tc>
          <w:tcPr>
            <w:tcW w:w="0" w:type="dxa"/>
            <w:vAlign w:val="bottom"/>
          </w:tcPr>
          <w:p>
            <w:pPr>
              <w:spacing w:after="0"/>
              <w:rPr>
                <w:sz w:val="1"/>
                <w:szCs w:val="1"/>
                <w:color w:val="auto"/>
              </w:rPr>
            </w:pPr>
          </w:p>
        </w:tc>
      </w:tr>
      <w:tr>
        <w:trPr>
          <w:trHeight w:val="229"/>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0" w:type="dxa"/>
            <w:vAlign w:val="bottom"/>
          </w:tcPr>
          <w:p>
            <w:pPr>
              <w:spacing w:after="0"/>
              <w:rPr>
                <w:sz w:val="1"/>
                <w:szCs w:val="1"/>
                <w:color w:val="auto"/>
              </w:rPr>
            </w:pPr>
          </w:p>
        </w:tc>
      </w:tr>
      <w:tr>
        <w:trPr>
          <w:trHeight w:val="229"/>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0" w:type="dxa"/>
            <w:vAlign w:val="bottom"/>
          </w:tcPr>
          <w:p>
            <w:pPr>
              <w:spacing w:after="0"/>
              <w:rPr>
                <w:sz w:val="1"/>
                <w:szCs w:val="1"/>
                <w:color w:val="auto"/>
              </w:rPr>
            </w:pPr>
          </w:p>
        </w:tc>
      </w:tr>
      <w:tr>
        <w:trPr>
          <w:trHeight w:val="230"/>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29"/>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0" w:type="dxa"/>
            <w:vAlign w:val="bottom"/>
          </w:tcPr>
          <w:p>
            <w:pPr>
              <w:spacing w:after="0"/>
              <w:rPr>
                <w:sz w:val="1"/>
                <w:szCs w:val="1"/>
                <w:color w:val="auto"/>
              </w:rPr>
            </w:pPr>
          </w:p>
        </w:tc>
      </w:tr>
      <w:tr>
        <w:trPr>
          <w:trHeight w:val="230"/>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12,739</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Work-in-progress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23"/>
        </w:trPr>
        <w:tc>
          <w:tcPr>
            <w:tcW w:w="240" w:type="dxa"/>
            <w:vAlign w:val="bottom"/>
            <w:shd w:val="clear" w:color="auto" w:fill="CCEEFF"/>
          </w:tcPr>
          <w:p>
            <w:pPr>
              <w:spacing w:after="0"/>
              <w:rPr>
                <w:sz w:val="19"/>
                <w:szCs w:val="19"/>
                <w:color w:val="auto"/>
              </w:rPr>
            </w:pPr>
          </w:p>
        </w:tc>
        <w:tc>
          <w:tcPr>
            <w:tcW w:w="7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42,149</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accumulated depreciation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(19,160)</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22,989</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2"/>
                <w:szCs w:val="12"/>
                <w:color w:val="auto"/>
              </w:rPr>
              <w:t>(1)</w:t>
            </w:r>
          </w:p>
        </w:tc>
        <w:tc>
          <w:tcPr>
            <w:tcW w:w="786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Includes $2.6 million recognized as an impairment in 2025 as discussed below.</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240" w:type="dxa"/>
            <w:vAlign w:val="bottom"/>
            <w:vMerge w:val="continue"/>
          </w:tcPr>
          <w:p>
            <w:pPr>
              <w:spacing w:after="0"/>
              <w:rPr>
                <w:sz w:val="24"/>
                <w:szCs w:val="24"/>
                <w:color w:val="auto"/>
              </w:rPr>
            </w:pPr>
          </w:p>
        </w:tc>
        <w:tc>
          <w:tcPr>
            <w:tcW w:w="78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18"/>
          <w:szCs w:val="18"/>
          <w:color w:val="auto"/>
        </w:rPr>
        <w:t>In connection with our efforts to plan for an eventual sale of our former corporate headquarters facility including a building and land in Midland, Texas (the “Former Headquarters Property”), we undertook certain actions in the fourth quarter of 2025 to begin building-out a new leased office facility in Midland, Texas.</w:t>
      </w:r>
      <w:r>
        <w:rPr>
          <w:sz w:val="1"/>
          <w:szCs w:val="1"/>
          <w:color w:val="auto"/>
        </w:rPr>
        <w:drawing>
          <wp:inline distT="0" distB="0" distL="0" distR="0">
            <wp:extent cx="26035" cy="12890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0">
                      <a:extLst>
                        <a:ext uri="{28A0092B-C50C-407E-A947-70E740481C1C}"/>
                      </a:extLst>
                    </a:blip>
                    <a:srcRect/>
                    <a:stretch>
                      <a:fillRect/>
                    </a:stretch>
                  </pic:blipFill>
                  <pic:spPr bwMode="auto">
                    <a:xfrm>
                      <a:off x="0" y="0"/>
                      <a:ext cx="26035" cy="12890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While the Former Headquarters Property remained in use as of December 31, 2025, these actions triggered a review for impairment of the Former Headquarters Property consistent with our plans to relocate to the new leased facility in 2026. In our evaluation for the impairment, the cash flows that we considered were those that we expect to receive from a sale of the Former Headquarters Property, less costs to sell, or fair value. As the carrying value of the Former Headquarters Property exceeded the fair value less costs to sell, we recognized an impairment of $2.6 million in the fourth quarter of 2025. Subsequently, we entered into an exclusive listing agreement in February 2026 for the sale of the Former Headquarters Property (see </w:t>
      </w:r>
      <w:r>
        <w:rPr>
          <w:rFonts w:ascii="Times New Roman" w:cs="Times New Roman" w:eastAsia="Times New Roman" w:hAnsi="Times New Roman"/>
          <w:sz w:val="18"/>
          <w:szCs w:val="18"/>
          <w:u w:val="single" w:color="auto"/>
          <w:color w:val="0000FF"/>
        </w:rPr>
        <w:t>Note 19</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Depreciation expense for property and equipment was $3.9 million, $2.4 million and $2.4 million for the years ended December 31, 2025, 2024 and 2023, respectively.</w:t>
      </w:r>
    </w:p>
    <w:p>
      <w:pPr>
        <w:spacing w:after="0" w:line="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During 2025, we reclassified certain items of property and equipment attributable to our former Midland Facility with a carrying value of $2.2 million to assets held for sale (see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Leases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operating leases are primarily related to property leases for administrative and field offices, storage facilities, temporary housing and office equipment. Our operating leases have remaining lease terms of one to seven years. Renewal and termination options are included in the lease term when it is reasonably certain that we will exercise the option. Our finance leases were primarily related to vehicles used in our rental business; however, we terminated all such leases during 2024 and purchased the vehicles and recorded them in property and equipment. Prior to their termination, our finance leases generally had lease terms of three years. Our lease agreements do not contain any contingent rental payments, material residual guarantees or material restrictive covenants.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8"/>
          <w:szCs w:val="18"/>
          <w:color w:val="auto"/>
        </w:rPr>
        <w:t>The following table reflects the amounts related to leases that are recorded on our Consolidated Balance Sheets as of the dates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Classification on Consolidated</w:t>
            </w:r>
          </w:p>
        </w:tc>
        <w:tc>
          <w:tcPr>
            <w:tcW w:w="3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r>
      <w:tr>
        <w:trPr>
          <w:trHeight w:val="223"/>
        </w:trPr>
        <w:tc>
          <w:tcPr>
            <w:tcW w:w="432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Borders>
              <w:bottom w:val="single" w:sz="8" w:color="CCEEFF"/>
            </w:tcBorders>
          </w:tcPr>
          <w:p>
            <w:pPr>
              <w:spacing w:after="0"/>
              <w:rPr>
                <w:sz w:val="19"/>
                <w:szCs w:val="19"/>
                <w:color w:val="auto"/>
              </w:rPr>
            </w:pPr>
          </w:p>
        </w:tc>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48"/>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2,373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607</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153</w:t>
            </w:r>
          </w:p>
        </w:tc>
      </w:tr>
      <w:tr>
        <w:trPr>
          <w:trHeight w:val="229"/>
        </w:trPr>
        <w:tc>
          <w:tcPr>
            <w:tcW w:w="4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1,911</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454</w:t>
            </w:r>
          </w:p>
        </w:tc>
      </w:tr>
      <w:tr>
        <w:trPr>
          <w:trHeight w:val="248"/>
        </w:trPr>
        <w:tc>
          <w:tcPr>
            <w:tcW w:w="44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liabilities</w:t>
            </w:r>
          </w:p>
        </w:tc>
        <w:tc>
          <w:tcPr>
            <w:tcW w:w="3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2,373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607</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3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r>
    </w:tbl>
    <w:p>
      <w:pPr>
        <w:spacing w:after="0" w:line="125" w:lineRule="exact"/>
        <w:rPr>
          <w:sz w:val="20"/>
          <w:szCs w:val="20"/>
          <w:color w:val="auto"/>
        </w:rPr>
      </w:pPr>
    </w:p>
    <w:p>
      <w:pPr>
        <w:ind w:right="420" w:firstLine="648"/>
        <w:spacing w:after="0" w:line="281" w:lineRule="auto"/>
        <w:rPr>
          <w:sz w:val="20"/>
          <w:szCs w:val="20"/>
          <w:color w:val="auto"/>
        </w:rPr>
      </w:pPr>
      <w:r>
        <w:rPr>
          <w:rFonts w:ascii="Times New Roman" w:cs="Times New Roman" w:eastAsia="Times New Roman" w:hAnsi="Times New Roman"/>
          <w:sz w:val="18"/>
          <w:szCs w:val="18"/>
          <w:color w:val="auto"/>
        </w:rPr>
        <w:t>Operating lease costs are recognized on a straight-line basis over the lease term. Total operating lease costs for the years ended December 31, 2025, 2024 and 2023 were approximately $1.0 million, $0.7 million and $0.5 million, respectively.</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cash paid for amounts included in the measurement of liabilities included in our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for the periods presented: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4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4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3"/>
                <w:szCs w:val="23"/>
                <w:color w:val="auto"/>
                <w:vertAlign w:val="superscript"/>
              </w:rPr>
              <w:t>(1) (2)</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30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Finance lease cost </w:t>
            </w:r>
            <w:r>
              <w:rPr>
                <w:rFonts w:ascii="Times New Roman" w:cs="Times New Roman" w:eastAsia="Times New Roman" w:hAnsi="Times New Roman"/>
                <w:sz w:val="23"/>
                <w:szCs w:val="23"/>
                <w:color w:val="auto"/>
                <w:vertAlign w:val="superscript"/>
              </w:rPr>
              <w:t>(3)</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bl>
    <w:p>
      <w:pPr>
        <w:spacing w:after="0" w:line="10"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Lease costs are classified in the Consolidated Statements of Operations within cost of revenues and selling, general and administrative expenses.</w:t>
      </w:r>
    </w:p>
    <w:p>
      <w:pPr>
        <w:spacing w:after="0" w:line="55" w:lineRule="exact"/>
        <w:rPr>
          <w:rFonts w:ascii="Times New Roman" w:cs="Times New Roman" w:eastAsia="Times New Roman" w:hAnsi="Times New Roman"/>
          <w:sz w:val="23"/>
          <w:szCs w:val="23"/>
          <w:color w:val="auto"/>
          <w:vertAlign w:val="superscript"/>
        </w:rPr>
      </w:pPr>
    </w:p>
    <w:p>
      <w:pPr>
        <w:ind w:right="20" w:firstLine="8"/>
        <w:spacing w:after="0" w:line="219" w:lineRule="auto"/>
        <w:tabs>
          <w:tab w:leader="none" w:pos="37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costs of $0.6 million, $0.1 million and $0.3 million for leases with terms of 12 months or less and $0.4 million, $0.6 million and $0.2 million for leases with terms greater than 12 months for the years ended December 31, 2025, 2024 and 2023, respectively.</w:t>
      </w:r>
    </w:p>
    <w:p>
      <w:pPr>
        <w:spacing w:after="0" w:line="5"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All finance leases were terminated during 2024.</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the future maturities of our lease liabilities for the periods presented: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7600" w:type="dxa"/>
            <w:vAlign w:val="bottom"/>
            <w:gridSpan w:val="3"/>
          </w:tcPr>
          <w:p>
            <w:pPr>
              <w:jc w:val="right"/>
              <w:ind w:right="437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940" w:type="dxa"/>
            <w:vAlign w:val="bottom"/>
          </w:tcPr>
          <w:p>
            <w:pPr>
              <w:spacing w:after="0"/>
              <w:rPr>
                <w:sz w:val="20"/>
                <w:szCs w:val="20"/>
                <w:color w:val="auto"/>
              </w:rPr>
            </w:pPr>
          </w:p>
        </w:tc>
      </w:tr>
      <w:tr>
        <w:trPr>
          <w:trHeight w:val="223"/>
        </w:trPr>
        <w:tc>
          <w:tcPr>
            <w:tcW w:w="2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9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CCEEFF"/>
            </w:tcBorders>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29"/>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29"/>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2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6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w:t>
            </w:r>
          </w:p>
        </w:tc>
      </w:tr>
      <w:tr>
        <w:trPr>
          <w:trHeight w:val="229"/>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6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48"/>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Rent expense under such leases was $0.4 million, $0.6 million and $0.2 million for the years ended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Supplemental Balance Sheet Disclosures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of accrued liabilities as of the dates presented:</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purchases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operating leases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taxes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223"/>
        </w:trPr>
        <w:tc>
          <w:tcPr>
            <w:tcW w:w="80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10,462</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0" w:type="dxa"/>
            <w:vAlign w:val="bottom"/>
          </w:tcPr>
          <w:p>
            <w:pPr>
              <w:spacing w:after="0"/>
              <w:rPr>
                <w:sz w:val="1"/>
                <w:szCs w:val="1"/>
                <w:color w:val="auto"/>
              </w:rPr>
            </w:pPr>
          </w:p>
        </w:tc>
      </w:tr>
      <w:tr>
        <w:trPr>
          <w:trHeight w:val="21"/>
        </w:trPr>
        <w:tc>
          <w:tcPr>
            <w:tcW w:w="8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Long-Term Debt</w:t>
            </w: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80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Our outstanding long-term debt consists of the following as of the dates presented:</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 senior secured revolving credit agreement, as amended (the “Credit Facility”) with Texas Capital Bank, National Association as administrative agent (the “Administrative Agent”), TCBI Securities, Inc., Bank of America, N.A., and the Huntington National Bank as joint lead arrangers and joint book runners, and the lenders party thereto (the “Lenders”). On April 18, 2025, we entered into the Fourth Amendment to the Amended and Restated Credit Agreement (the “Fourth Amendment”) with the Lenders to (i) increase the total commitment to $400.0 million from $300.0 million, (ii) expand the accordion feature to $100.0 million from $50.0 million, (iii) reduce the interest rates by 50 to 75 basis points at comparable leverage levels and,</w:t>
      </w:r>
    </w:p>
    <w:p>
      <w:pPr>
        <w:spacing w:after="0" w:line="3" w:lineRule="exact"/>
        <w:rPr>
          <w:sz w:val="20"/>
          <w:szCs w:val="20"/>
          <w:color w:val="auto"/>
        </w:rPr>
      </w:pPr>
    </w:p>
    <w:p>
      <w:pPr>
        <w:ind w:firstLine="8"/>
        <w:spacing w:after="0" w:line="260" w:lineRule="auto"/>
        <w:tabs>
          <w:tab w:leader="none" w:pos="30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more flexible leverage covenant that began on September 30, 2025. In connection with the Fourth Amendment, we incurred fees and debt issue costs of $1.3 million.</w:t>
      </w:r>
    </w:p>
    <w:p>
      <w:pPr>
        <w:spacing w:after="0" w:line="1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Credit Facility provides for a total commitment of $400.0 million. We also have a right to request from the Lenders, an increase to the potential aggregate commitment of up to $100.0 million; provided, however, the aggregate commitment amount is not permitted to exceed $500.0 million. The accordion feature is subject to certain conditions, including the absence of a default, the consent of new or existing lenders willing to provide additional commitments, and our pro forma compliance with the Credit Facility’s financial covenants. The obligations under the Credit Facility are secured by a first priority lien on most of our assets, including inventory and certain accounts receivable as well as a variable number of our leased compressor units. The maturity date of the Credit Facility is February 28, 2028.</w:t>
      </w:r>
    </w:p>
    <w:p>
      <w:pPr>
        <w:spacing w:after="0" w:line="25" w:lineRule="exact"/>
        <w:rPr>
          <w:sz w:val="20"/>
          <w:szCs w:val="20"/>
          <w:color w:val="auto"/>
        </w:rPr>
      </w:pPr>
    </w:p>
    <w:p>
      <w:pPr>
        <w:jc w:val="both"/>
        <w:ind w:firstLine="810"/>
        <w:spacing w:after="0" w:line="266" w:lineRule="auto"/>
        <w:rPr>
          <w:sz w:val="20"/>
          <w:szCs w:val="20"/>
          <w:color w:val="auto"/>
        </w:rPr>
      </w:pPr>
      <w:r>
        <w:rPr>
          <w:rFonts w:ascii="Times New Roman" w:cs="Times New Roman" w:eastAsia="Times New Roman" w:hAnsi="Times New Roman"/>
          <w:sz w:val="18"/>
          <w:szCs w:val="18"/>
          <w:color w:val="auto"/>
        </w:rPr>
        <w:t>As of December 31, 2025, we had $230.0 million outstanding under our Credit Facility with a weighted average interest rate of 6.59%. As of December 31, 2025, we had approximately $170.0 million available for borrowing under the Credit Facility, subject to borrowing base determination that was determined to be $400.0 million. As of December 31, 2025, we were in compliance with all financial covenants in our Credit Facility.</w:t>
      </w:r>
    </w:p>
    <w:p>
      <w:pPr>
        <w:spacing w:after="0" w:line="1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Borrowing Base</w:t>
      </w:r>
      <w:r>
        <w:rPr>
          <w:rFonts w:ascii="Times New Roman" w:cs="Times New Roman" w:eastAsia="Times New Roman" w:hAnsi="Times New Roman"/>
          <w:sz w:val="18"/>
          <w:szCs w:val="18"/>
          <w:color w:val="auto"/>
        </w:rPr>
        <w:t>. At any time before the maturity of the Credit Facility, we may draw, repay and re-borrow amounts available under the borrowing base up to the maximum aggregate availability discussed above. Generally, the borrowing base equals the sum of (a) 85% of eligible accounts receivable owed to us, plus (b) 50% of the eligible inventory, valued at the lower of cost or market value at such time, subject to a cap of this component not to exceed $2.5 million, plus (c) the lesser of (i) 95% of the net book value of the compressors that the Administrative Agent has determined are eligible for the extension of credit, valued at the lower of cost or market value with depreciation not to exceed 25 years, at such time and (ii) 80% of the net liquidation value percentage of the net book value of the eligible compressors that the Administrative Agent has determined are eligible for the extension of credit, valued at the lower of cost or market value with depreciation not to exceed 25 years, at such time, plus (d) 80% of the net book value, valued at the lower of cost (excluding any costs for capitalized interest or other noncash capitalized costs) or market of the eligible new compressor fleet, minus (e) any required availability reserves determined by the Administrative Agent in its sole discretion. The Administrative Agent may adjust the borrowing base components if material deviations in the collateral are discovered in future audits of the collateral.</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62" w:name="page63"/>
    <w:bookmarkEnd w:id="62"/>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Interest and Fees.</w:t>
      </w:r>
      <w:r>
        <w:rPr>
          <w:rFonts w:ascii="Times New Roman" w:cs="Times New Roman" w:eastAsia="Times New Roman" w:hAnsi="Times New Roman"/>
          <w:sz w:val="18"/>
          <w:szCs w:val="18"/>
          <w:color w:val="auto"/>
        </w:rPr>
        <w:t xml:space="preserve"> Under the terms of the Credit Facility, we have the option of selecting the applicable variable rate for each revolving loan, or portion thereof, of either (a) the Base Rate (as defined below) plus the Applicable Margin, or (b) in the case of a Term Secured Overnight Financing Rate (“SOFR”) Loan, the Adjusted Term SOFR rate plus the Applicable Margin. “Base Rate” means, for any day, a rate of interest per annum equal to the highest of (a) the prime rate for such day; (b) the sum of the federal funds rate for such day plus 0.50%; and (c) the Adjusted Term SOFR for such day plus 1.00%. The Applicable Margin is determined based upon the leverage ratio as set forth in the most recent compliance certificate received by the Administrative Agent for each fiscal quarter from time to time pursuant to the Credit Facility. Depending on the leverage ratio, the Applicable Margin can be 1.50% to 2.25% for Base Rate Loans (as defined in the Credit Facility) and 2.50% to 3.25% for Term SOFR Loans and for requested letters of credit. In addition, we are required to pay a monthly commitment fee on the daily average unused amount of the commitment while the Credit Facility is in effect at an annual rate equal to 0.375% of the unused commitment amount. Accrued interest is payable monthly on outstanding principal amounts and unused commitment fee, provided that accrued interest on Term SOFR Loans is payable at the end of each interest period, but in no event less frequently than quarterly.</w:t>
      </w:r>
    </w:p>
    <w:p>
      <w:pPr>
        <w:spacing w:after="0" w:line="3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xml:space="preserve"> The Credit Facility contains customary representations and warranties, as well as covenants which, among other things, condition or limit our ability to incur additional indebtedness and liens; enter into transactions with affiliates; make acquisitions in excess of certain amounts; pay dividends; redeem or repurchase capital stock or senior notes; make investments or loans; make negative pledges; consolidate, merge or effect asset sales; or change the nature of our business. In addition, we are subject to certain financial covenants in the Credit Facility that require us to maintain (i) a leverage ratio, as defined, lesser than or equal to (a) 3.50 to 1.00 for each fiscal quarter and (ii) a fixed charge coverage ratio greater than or equal to 1.25 to 1.00 as of the last day of each fiscal quarter.</w:t>
      </w:r>
    </w:p>
    <w:p>
      <w:pPr>
        <w:spacing w:after="0" w:line="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Events of Default and Acceleration</w:t>
      </w:r>
      <w:r>
        <w:rPr>
          <w:rFonts w:ascii="Times New Roman" w:cs="Times New Roman" w:eastAsia="Times New Roman" w:hAnsi="Times New Roman"/>
          <w:sz w:val="18"/>
          <w:szCs w:val="18"/>
          <w:color w:val="auto"/>
        </w:rPr>
        <w:t>. The Credit Facility contains customary events of default for credit facilities of this size and type, and includes, without limitation, payment defaults; defaults in performance of covenants or other agreements contained in the Credit Facility and the other transaction documents; inaccuracies in representations and warranties; certain defaults, termination events or similar events; certain defaults with respect to any other Company indebtedness in excess of $1.0 million; certain bankruptcy or insolvency events; the rendering of certain judgments in excess of $1.0 million; certain ERISA events; certain change in control events and the defectiveness of any liens. Obligations outstanding under the Credit Facility may be accelerated upon the occurrence of an event of default.</w:t>
      </w:r>
    </w:p>
    <w:p>
      <w:pPr>
        <w:spacing w:after="0" w:line="129" w:lineRule="exact"/>
        <w:rPr>
          <w:sz w:val="20"/>
          <w:szCs w:val="20"/>
          <w:color w:val="auto"/>
        </w:rPr>
      </w:pPr>
    </w:p>
    <w:p>
      <w:pPr>
        <w:ind w:left="400" w:hanging="392"/>
        <w:spacing w:after="0"/>
        <w:tabs>
          <w:tab w:leader="none" w:pos="40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provision for income taxes for the presented: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4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income tax benefit (expense):</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6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income tax benefit (expense)</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(5,703)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r>
      <w:tr>
        <w:trPr>
          <w:trHeight w:val="229"/>
        </w:trPr>
        <w:tc>
          <w:tcPr>
            <w:tcW w:w="6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3"/>
        </w:trPr>
        <w:tc>
          <w:tcPr>
            <w:tcW w:w="6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deferred income tax expense</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(6,657)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r>
      <w:tr>
        <w:trPr>
          <w:trHeight w:val="223"/>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(6,603)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w:t>
            </w:r>
          </w:p>
        </w:tc>
      </w:tr>
      <w:tr>
        <w:trPr>
          <w:trHeight w:val="20"/>
        </w:trPr>
        <w:tc>
          <w:tcPr>
            <w:tcW w:w="6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effective tax rates for the periods presented: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223"/>
        </w:trPr>
        <w:tc>
          <w:tcPr>
            <w:tcW w:w="39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80" w:type="dxa"/>
            <w:vAlign w:val="bottom"/>
            <w:tcBorders>
              <w:bottom w:val="single" w:sz="8" w:color="auto"/>
            </w:tcBorders>
          </w:tcPr>
          <w:p>
            <w:pPr>
              <w:spacing w:after="0"/>
              <w:rPr>
                <w:sz w:val="19"/>
                <w:szCs w:val="19"/>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rate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and local taxes</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compensation</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rate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(6,603)</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28.3 %</w:t>
            </w:r>
          </w:p>
        </w:tc>
      </w:tr>
      <w:tr>
        <w:trPr>
          <w:trHeight w:val="21"/>
        </w:trPr>
        <w:tc>
          <w:tcPr>
            <w:tcW w:w="3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3" w:name="page64"/>
    <w:bookmarkEnd w:id="63"/>
    <w:p>
      <w:pPr>
        <w:ind w:right="80" w:firstLine="648"/>
        <w:spacing w:after="0" w:line="271" w:lineRule="auto"/>
        <w:rPr>
          <w:sz w:val="20"/>
          <w:szCs w:val="20"/>
          <w:color w:val="auto"/>
        </w:rPr>
      </w:pPr>
      <w:r>
        <w:rPr>
          <w:rFonts w:ascii="Times New Roman" w:cs="Times New Roman" w:eastAsia="Times New Roman" w:hAnsi="Times New Roman"/>
          <w:sz w:val="18"/>
          <w:szCs w:val="18"/>
          <w:color w:val="auto"/>
        </w:rPr>
        <w:t>The following table summarizes the income tax effects of temporary differences that give rise to significant portions of deferred income tax assets and (liabilities) as of the dates presented: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r>
      <w:tr>
        <w:trPr>
          <w:trHeight w:val="223"/>
        </w:trPr>
        <w:tc>
          <w:tcPr>
            <w:tcW w:w="80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20,600</w:t>
            </w:r>
          </w:p>
        </w:tc>
      </w:tr>
      <w:tr>
        <w:trPr>
          <w:trHeight w:val="229"/>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30"/>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29"/>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r>
      <w:tr>
        <w:trPr>
          <w:trHeight w:val="22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reserves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r>
      <w:tr>
        <w:trPr>
          <w:trHeight w:val="230"/>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compensation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2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23"/>
        </w:trPr>
        <w:tc>
          <w:tcPr>
            <w:tcW w:w="8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31,799</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27,325</w:t>
            </w: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(84,329)</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(73,198)</w:t>
            </w:r>
          </w:p>
        </w:tc>
      </w:tr>
      <w:tr>
        <w:trPr>
          <w:trHeight w:val="223"/>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(84,329)</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(73,198)</w:t>
            </w:r>
          </w:p>
        </w:tc>
      </w:tr>
      <w:tr>
        <w:trPr>
          <w:trHeight w:val="223"/>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deferred income tax liabilities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(52,530)</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(45,873)</w:t>
            </w:r>
          </w:p>
        </w:tc>
      </w:tr>
      <w:tr>
        <w:trPr>
          <w:trHeight w:val="21"/>
        </w:trPr>
        <w:tc>
          <w:tcPr>
            <w:tcW w:w="8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file income tax returns in the U.S. federal jurisdiction and various state jurisdictions. With few exceptions, we are no longer subject to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or state income tax examination by tax authorities for years before 2020.</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Receivable</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(“CARES Act”) was enacted in response to the economic impact caused by the COVID-19 pandemic. The CARES Act, among other things, permits federal income tax net operating loss (“NOL”) carryovers and carrybacks to offset 100% of taxable income for taxable years beginning before 2021. In addition, the CARES Act allows NOLs incurred in 2018, 2019, and 2020 to be carried back to each of the five preceding taxable years to generate a refund of previously paid federal income taxes. We generated significant NOLs during 2018 and 2019 and filed carryback claims for these losses to the preceding five years.</w:t>
      </w:r>
    </w:p>
    <w:p>
      <w:pPr>
        <w:spacing w:after="0" w:line="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filing of these claims, we initially recorded a federal income tax receivable of approximately $15.0 million and certain related adjustments to our deferred tax liability. We subsequently received federal income tax refunds corresponding to the 2018 NOL carryback during 2020 leaving approximately $11.5 million remaining to be refunded in connection with the 2019 NOL carryback. In conjunction with the remaining income tax refund claim, we received a notice from the Internal Revenue Service (“IRS”) on March 8, 2023, stating that our income tax returns for 2015, 2016, 2017 and 2019 were selected for examination. Furthermore, and as is customary for income tax refunds of this magnitude, the IRS was required to review the refund claim and provide a report to the Joint Committee on Taxation of the U.S. Congress (“JCT”). As a result of the submission of the refund claim to the JCT, the IRS completed their review of the income tax returns for 2015, 2016 and 2017. Our request for refund was reviewed and concluded favorably with the JCT concurring with the IRS’s conclusions. Subsequent to a delay due to the federal government shutdown in October 2025, we received a total of $12.3 million in the first quarter of 2026. This amount includes tax refunds of $10.2 million and related interest of $2.1 million for the years 2015, 2016 and 2017. After receipt of these refunds, a total of $1.8 million attributable solely to 2019 remains open including an income tax refund of $1.5 million plus interest of $0.3 million.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Tax Attributes</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December 31, 2025, we had NOL carryforwards for federal income tax purposes of $124.2 million, which may be carried forward indefinitely and can offset up to 80% of future taxable income in any given year. Future changes in ownership, as defined by Section 382 of the Internal Revenue Code of 1986, as amended (“IRC”), could limit the amount of NOL carryforwards used in any one year. In general, under Section 382 and 383 of the IRC, a corporation that undergoes an “ownership change” is subject to limitations on its ability to utilize its pre-change NOLs and certain tax credits, to offset future taxable income and tax. In general, an ownership change occurs if the aggregate stock ownership of certain stockholders changes by more than 50 percentage points over such stockholders’ lowest percentage of ownership during the testing period (generally three years). We also had state NOL carryforwards of $58.5 million with carryforward periods similar to those of our federal NOLs.</w:t>
      </w:r>
    </w:p>
    <w:p>
      <w:pPr>
        <w:spacing w:after="0" w:line="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paid a total of $0.3 million during 2025for income taxes, net of refunds received, including $0.1 million to the IRS and $0.1 million to the State of Texas. We have no reserves for uncertain tax positions as of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4" w:name="page65"/>
    <w:bookmarkEnd w:id="64"/>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Deferred Compensation Plan</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maintain a non-qualified deferred compensation plan (the “Deferred Compensation Plan”) for executive officers, directors and certain eligible employees. The assets of the Deferred Compensation Plan are held in a rabbi trust and are subject to additional risk of loss in the event of bankruptcy or insolvency of the Company. The Deferred Compensation Plan allows for deferral of up to 90 percent of a participant’s base salary, bonus, commissions, director fees and restricted stock and unit awards. Company owned life insurance (“COLI”) policies are held in the rabbi trust are utilized as a source of funding for the Deferred Compensation Plan. The cash surrender value of the COLI policies was $2.9 million and $3.0 million as of December 31, 2025 and 2024, respectively, with unrealized gains and (losses) related to the policies of $0.1 million, $0.2 million and $(0.2) million recorded as a component of Other income (expense) in our Consolidated Statements of Operations for the years ended December 31, 2025, 2024 and 2023, respectively.</w:t>
      </w:r>
    </w:p>
    <w:p>
      <w:pPr>
        <w:spacing w:after="0" w:line="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deferrals of base salary, bonus, commissions and director fees, settlement payments are made to participants in cash, either in a lump sum or in periodic installments. The obligations to pay the deferred compensation and the deferred director fees are adjusted to reflect the positive or negative performance of investment measurement options selected by each participant and was $3.2 million and $3.8 million as of December 31, 2025 and 2024, respectively. The deferred obligations are included as a component of Other long-term liabilities on our Consolidated Balance Sheets.</w:t>
      </w:r>
    </w:p>
    <w:p>
      <w:pPr>
        <w:spacing w:after="0" w:line="1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deferrals of restricted stock awards, the Deferred Compensation Plan does not allow for diversification, therefore, distributions are paid in shares of our common stock and the obligations are carried at their grant date fair values. As of December 31, 2025 and 2024, respectively, there were no unvested restricted stock and units being deferred. As of December 31, 2025 and 2024, respectively we have released and issued 140,115 and 191,700 shares to the Deferred Compensation Plan with a value of $4.7 million and $4.8 million, respectively.</w:t>
      </w:r>
    </w:p>
    <w:p>
      <w:pPr>
        <w:spacing w:after="0" w:line="122"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From time to time, we are a party to various claims and legal proceedings arising from our operations in the ordinary course of our business. We are not currently a party to any material legal proceedings, and we are not aware of any threatened material litigation. While the outcome of any potential claims and legal proceedings against us cannot be predicted with certainty, we have concluded that it is not considered reasonably possible that a loss resulting from any such claims or proceedings in excess of any amounts accrued has been incurred that is expected to have a material adverse effect on our financial position, results of operations or cash flows. Furthermore, we believe that we maintain adequate insurance coverage against any potential litigation loss relating to insurable risks.</w:t>
      </w:r>
    </w:p>
    <w:p>
      <w:pPr>
        <w:spacing w:after="0" w:line="17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tab/>
        <w:t>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and 2024, we had a total of 5,000,000 authorized preferred shares which may be issued in series with rights and preferences as designated by our Board of Directors. As of December 31, 2025 and 2024, there were no issued or outstanding preferred shares.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and 2024, we had a total of 30,000,000 authorized shares of common stock, par value $0.01 per share. As of December 31, 2025 and 2024, there were 13,882,860 and 13,761,664 shares issued and 12,573,014 and 12,451,818 shares outstanding,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Paid-In Capital</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 paid-in capital includes the cumulative amounts received in excess of the par value with respect to the public offerings of our common stock and the issuance of shares in connection with our stock-based compensation plans. Furthermore, additional paid-in capital is increased by the periodic cost of equity-classified stock-based compensation awards, net of any forfeitures and the cost of shares used to settle income tax obligations upon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2"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Retained Earnings, Dividends and Comprehensive Income</w:t>
      </w:r>
    </w:p>
    <w:p>
      <w:pPr>
        <w:spacing w:after="0" w:line="121"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Cash dividends are considered restricted payments as defined in the Credit Facility and may be made provided that certain conditions are satisfied as reflected in the Credit Facility, including the absence of any defaults, among others.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dividends declared and paid in cash for the periods presented: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gridSpan w:val="2"/>
            <w:vMerge w:val="restart"/>
          </w:tcPr>
          <w:p>
            <w:pPr>
              <w:ind w:left="3060"/>
              <w:spacing w:after="0"/>
              <w:rPr>
                <w:sz w:val="20"/>
                <w:szCs w:val="20"/>
                <w:color w:val="auto"/>
              </w:rPr>
            </w:pPr>
            <w:r>
              <w:rPr>
                <w:rFonts w:ascii="Times New Roman" w:cs="Times New Roman" w:eastAsia="Times New Roman" w:hAnsi="Times New Roman"/>
                <w:sz w:val="18"/>
                <w:szCs w:val="18"/>
                <w:b w:val="1"/>
                <w:bCs w:val="1"/>
                <w:color w:val="auto"/>
              </w:rPr>
              <w:t>Quarterly Period Ended</w:t>
            </w:r>
          </w:p>
        </w:tc>
        <w:tc>
          <w:tcPr>
            <w:tcW w:w="240" w:type="dxa"/>
            <w:vAlign w:val="bottom"/>
          </w:tcPr>
          <w:p>
            <w:pPr>
              <w:spacing w:after="0"/>
              <w:rPr>
                <w:sz w:val="17"/>
                <w:szCs w:val="17"/>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140" w:type="dxa"/>
            <w:vAlign w:val="bottom"/>
          </w:tcPr>
          <w:p>
            <w:pPr>
              <w:spacing w:after="0"/>
              <w:rPr>
                <w:sz w:val="17"/>
                <w:szCs w:val="17"/>
                <w:color w:val="auto"/>
              </w:rPr>
            </w:pPr>
          </w:p>
        </w:tc>
        <w:tc>
          <w:tcPr>
            <w:tcW w:w="13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Dividends Paid</w:t>
            </w:r>
          </w:p>
        </w:tc>
        <w:tc>
          <w:tcPr>
            <w:tcW w:w="0" w:type="dxa"/>
            <w:vAlign w:val="bottom"/>
          </w:tcPr>
          <w:p>
            <w:pPr>
              <w:spacing w:after="0"/>
              <w:rPr>
                <w:sz w:val="1"/>
                <w:szCs w:val="1"/>
                <w:color w:val="auto"/>
              </w:rPr>
            </w:pPr>
          </w:p>
        </w:tc>
      </w:tr>
      <w:tr>
        <w:trPr>
          <w:trHeight w:val="243"/>
        </w:trPr>
        <w:tc>
          <w:tcPr>
            <w:tcW w:w="8080" w:type="dxa"/>
            <w:vAlign w:val="bottom"/>
            <w:gridSpan w:val="2"/>
            <w:vMerge w:val="continue"/>
          </w:tcPr>
          <w:p>
            <w:pPr>
              <w:spacing w:after="0"/>
              <w:rPr>
                <w:sz w:val="21"/>
                <w:szCs w:val="21"/>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Declared per Share</w:t>
            </w:r>
          </w:p>
        </w:tc>
        <w:tc>
          <w:tcPr>
            <w:tcW w:w="14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0" w:type="dxa"/>
            <w:vAlign w:val="bottom"/>
          </w:tcPr>
          <w:p>
            <w:pPr>
              <w:spacing w:after="0"/>
              <w:rPr>
                <w:sz w:val="1"/>
                <w:szCs w:val="1"/>
                <w:color w:val="auto"/>
              </w:rPr>
            </w:pPr>
          </w:p>
        </w:tc>
      </w:tr>
      <w:tr>
        <w:trPr>
          <w:trHeight w:val="234"/>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comprehensive income is comprised only of our net income as there are no components that would be considered as other comprehensive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 and Share Repurchases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8, 2025, our Board of Directors approved a share repurchase program (the “Repurchase Plan”). The Repurchase Plan provides for the repurchase of shares of our common stock from time to time in the open market as conditions, cash reserves, cash flows and the evaluation of uses of cash for operations, growth and share repurchase may allow. The Repurchase Plan is limited to $6 million and expires on August 6, 2027. There were no share repurchases during 2025.</w:t>
      </w:r>
    </w:p>
    <w:p>
      <w:pPr>
        <w:spacing w:after="0" w:line="122" w:lineRule="exact"/>
        <w:rPr>
          <w:sz w:val="20"/>
          <w:szCs w:val="20"/>
          <w:color w:val="auto"/>
        </w:rPr>
      </w:pPr>
    </w:p>
    <w:p>
      <w:pPr>
        <w:ind w:right="8760" w:firstLine="8"/>
        <w:spacing w:after="0" w:line="370" w:lineRule="auto"/>
        <w:tabs>
          <w:tab w:leader="none" w:pos="45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Revenues from Customers </w:t>
      </w:r>
      <w:r>
        <w:rPr>
          <w:rFonts w:ascii="Times New Roman" w:cs="Times New Roman" w:eastAsia="Times New Roman" w:hAnsi="Times New Roman"/>
          <w:sz w:val="18"/>
          <w:szCs w:val="18"/>
          <w:b w:val="1"/>
          <w:bCs w:val="1"/>
          <w:i w:val="1"/>
          <w:iCs w:val="1"/>
          <w:color w:val="auto"/>
        </w:rPr>
        <w:t>Disaggregation of Revenue</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our revenue disaggregated by product or service type for the periods presented: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4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7"/>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164,326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144,236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106,159</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Parts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w:t>
            </w:r>
          </w:p>
        </w:tc>
      </w:tr>
      <w:tr>
        <w:trPr>
          <w:trHeight w:val="230"/>
        </w:trPr>
        <w:tc>
          <w:tcPr>
            <w:tcW w:w="6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(Compressors/Rebuilds)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w:t>
            </w:r>
          </w:p>
        </w:tc>
      </w:tr>
      <w:tr>
        <w:trPr>
          <w:trHeight w:val="223"/>
        </w:trPr>
        <w:tc>
          <w:tcPr>
            <w:tcW w:w="6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8,921</w:t>
            </w:r>
          </w:p>
        </w:tc>
      </w:tr>
      <w:tr>
        <w:trPr>
          <w:trHeight w:val="256"/>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Aftermarket services</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6,087</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121,167</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729"/>
        <w:spacing w:after="0" w:line="282" w:lineRule="auto"/>
        <w:rPr>
          <w:sz w:val="20"/>
          <w:szCs w:val="20"/>
          <w:color w:val="auto"/>
        </w:rPr>
      </w:pPr>
      <w:r>
        <w:rPr>
          <w:rFonts w:ascii="Times New Roman" w:cs="Times New Roman" w:eastAsia="Times New Roman" w:hAnsi="Times New Roman"/>
          <w:sz w:val="18"/>
          <w:szCs w:val="18"/>
          <w:color w:val="auto"/>
        </w:rPr>
        <w:t>For the periods ended December 31, 2024 and 2023, we recognized revenue of less than $0.4 million and $0.1 million from amounts related to sales that were included in deferred revenue at the beginning of 2024 and 2023,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Allocated to the Remaining Performance Obligations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and 2024, we had no unsatisfied performance obligations.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recognize the incremental costs of obtaining contracts as an expense when incurred if the amortization period of the assets that we otherwise would have recognized is one year or less. These costs are included within Selling, general and administrative expense in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6" w:name="page67"/>
    <w:bookmarkEnd w:id="66"/>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Stock-Based and Other Long-Term Incentive Compensation</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maintain two stockholder approved plans for the issuance of stock-based compensation awards to our employees, Board of Director members and certain independent contractors: (i) the 2019 Equity Incentive Plan, as amended (the “Equity Incentive Plan”), and (ii) the 1998 Stock Option Plan, as amended (the “Stock Option Plan”).</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total stock-based compensation expense recognized during the periods presented: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4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Equity-classified</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w:t>
            </w:r>
          </w:p>
        </w:tc>
      </w:tr>
      <w:tr>
        <w:trPr>
          <w:trHeight w:val="229"/>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Liability-classified </w:t>
            </w:r>
            <w:r>
              <w:rPr>
                <w:rFonts w:ascii="Times New Roman" w:cs="Times New Roman" w:eastAsia="Times New Roman" w:hAnsi="Times New Roman"/>
                <w:sz w:val="10"/>
                <w:szCs w:val="10"/>
                <w:color w:val="auto"/>
              </w:rPr>
              <w:t>(1)</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320" w:hanging="312"/>
        <w:spacing w:after="0"/>
        <w:tabs>
          <w:tab w:leader="none" w:pos="320"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Represents compensation expense associated with awards that may be settled in cash at the option of the grantee.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Equity Incentive Plan provides for up to 1,650,000 shares of common stock for issuance in the form of awards for: (i) stock options, (ii) stock appreciation rights, (iii) restricted awards in the form of restricted stock and restricted stock units (“RSUs”), (iv) performance share awards, including performance share unit (“PSUs”) and, (v) other equity-based awards. After consideration of the activity described in detail below, a total of 646,751 shares remained available for grant as of December 31, 2025.</w:t>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Time-Vested Restricted Stock and Restricted Stock Units</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all restricted stock and RSU activity during the year ended December 31, 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15"/>
                <w:szCs w:val="15"/>
                <w:color w:val="auto"/>
              </w:rPr>
            </w:pPr>
          </w:p>
        </w:tc>
        <w:tc>
          <w:tcPr>
            <w:tcW w:w="16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6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240" w:type="dxa"/>
            <w:vAlign w:val="bottom"/>
          </w:tcPr>
          <w:p>
            <w:pPr>
              <w:spacing w:after="0"/>
              <w:rPr>
                <w:sz w:val="15"/>
                <w:szCs w:val="15"/>
                <w:color w:val="auto"/>
              </w:rPr>
            </w:pPr>
          </w:p>
        </w:tc>
        <w:tc>
          <w:tcPr>
            <w:tcW w:w="130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64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3"/>
              </w:rPr>
              <w:t>of</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6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Contractual Life</w:t>
            </w:r>
          </w:p>
        </w:tc>
        <w:tc>
          <w:tcPr>
            <w:tcW w:w="240" w:type="dxa"/>
            <w:vAlign w:val="bottom"/>
          </w:tcPr>
          <w:p>
            <w:pPr>
              <w:spacing w:after="0"/>
              <w:rPr>
                <w:sz w:val="15"/>
                <w:szCs w:val="15"/>
                <w:color w:val="auto"/>
              </w:rPr>
            </w:pPr>
          </w:p>
        </w:tc>
        <w:tc>
          <w:tcPr>
            <w:tcW w:w="130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41"/>
        </w:trPr>
        <w:tc>
          <w:tcPr>
            <w:tcW w:w="48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40" w:type="dxa"/>
            <w:vAlign w:val="bottom"/>
          </w:tcPr>
          <w:p>
            <w:pPr>
              <w:spacing w:after="0"/>
              <w:rPr>
                <w:sz w:val="20"/>
                <w:szCs w:val="20"/>
                <w:color w:val="auto"/>
              </w:rPr>
            </w:pPr>
          </w:p>
        </w:tc>
        <w:tc>
          <w:tcPr>
            <w:tcW w:w="13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5"/>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131,183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75,031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(85,699)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Canceled/Forfeited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(15,050)</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105,465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recognized stock compensation expense from restricted stock and RSUs of $1.2 million, $1.3 million and $2.0 million for the years ended December 31, 2025, 2024 and 2023, respectively. As of December 31, 2025, there was a total of approximately $1.4 million of unrecognized compensation expense related to the unvested portion of the restricted stock and RSUs. This expense is expected to be recognized over the next 2.1 years.</w:t>
      </w:r>
    </w:p>
    <w:p>
      <w:pPr>
        <w:spacing w:after="0" w:line="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Cash-Settled Restricted Stock Units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2025 and 2024 grant of RSUs to the non-employee members of our Board of Directors that can be settled in cash represent liability-classified awards. Accordingly, compensation expense associated with these awards accumulates as a component of Accrued liabilities on our Consolidated Balance Sheet until the awards vest and are settled. Compensation expense associated with these awards is based upon the fair value of NGS common stock at each reporting period relative to that portion of the service period that has passed. Accordingly, the compensation expense is variable in nature.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8"/>
          <w:szCs w:val="18"/>
          <w:color w:val="auto"/>
        </w:rPr>
        <w:t>The following table summarizes all cash settled RSU activity during the year ended December 31, 2025:</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820" w:type="dxa"/>
            <w:vAlign w:val="bottom"/>
          </w:tcPr>
          <w:p>
            <w:pPr>
              <w:spacing w:after="0"/>
              <w:rPr>
                <w:sz w:val="15"/>
                <w:szCs w:val="15"/>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15"/>
                <w:szCs w:val="15"/>
                <w:color w:val="auto"/>
              </w:rPr>
            </w:pPr>
          </w:p>
        </w:tc>
        <w:tc>
          <w:tcPr>
            <w:tcW w:w="16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64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240" w:type="dxa"/>
            <w:vAlign w:val="bottom"/>
          </w:tcPr>
          <w:p>
            <w:pPr>
              <w:spacing w:after="0"/>
              <w:rPr>
                <w:sz w:val="15"/>
                <w:szCs w:val="15"/>
                <w:color w:val="auto"/>
              </w:rPr>
            </w:pPr>
          </w:p>
        </w:tc>
        <w:tc>
          <w:tcPr>
            <w:tcW w:w="130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84"/>
        </w:trPr>
        <w:tc>
          <w:tcPr>
            <w:tcW w:w="482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64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3"/>
              </w:rPr>
              <w:t>of</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64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Contractual Life</w:t>
            </w:r>
          </w:p>
        </w:tc>
        <w:tc>
          <w:tcPr>
            <w:tcW w:w="240" w:type="dxa"/>
            <w:vAlign w:val="bottom"/>
          </w:tcPr>
          <w:p>
            <w:pPr>
              <w:spacing w:after="0"/>
              <w:rPr>
                <w:sz w:val="15"/>
                <w:szCs w:val="15"/>
                <w:color w:val="auto"/>
              </w:rPr>
            </w:pPr>
          </w:p>
        </w:tc>
        <w:tc>
          <w:tcPr>
            <w:tcW w:w="130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40" w:type="dxa"/>
            <w:vAlign w:val="bottom"/>
          </w:tcPr>
          <w:p>
            <w:pPr>
              <w:spacing w:after="0"/>
              <w:rPr>
                <w:sz w:val="21"/>
                <w:szCs w:val="21"/>
                <w:color w:val="auto"/>
              </w:rPr>
            </w:pPr>
          </w:p>
        </w:tc>
        <w:tc>
          <w:tcPr>
            <w:tcW w:w="13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Canceled/Forfeited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Cumulative compensation expense attributable to the cash-settled RSUs can range from zero to a maximum based on the total number of units vesting multiplied by closing price of our common stock on the vesting date.</w:t>
      </w:r>
    </w:p>
    <w:p>
      <w:pPr>
        <w:spacing w:after="0" w:line="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Performance Share Units</w:t>
      </w:r>
    </w:p>
    <w:p>
      <w:pPr>
        <w:spacing w:after="0" w:line="11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PSU awards, which have been granted to certain executive officers during the years ended December 31, 2025 and 2024, are based upon performance for a three-year period ending December 31, 2026 for the 2024 grants and December 31, 2027 for the 2025 grants measured against relative total shareholder return (“TSR”) compared to a peer group of companies as established by the Compensation Committee. The PSU award payouts range from zero (if the Company ranks below the 31.25 percentile) and up to 200% (if the Company ranks first) based upon our relative TSR performance ranking (subject to certain caps based on absolute TSR as defined in the PSU agreements).</w:t>
      </w:r>
    </w:p>
    <w:p>
      <w:pPr>
        <w:spacing w:after="0" w:line="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respect to vesting, the PSUs have both a service condition and a market condition. Due to the presence of the TSR measurement for the common equity of the peer companies, including NGS common stock, which is deemed a “market condition,” the grant-date fair values of the PSUs have been determined using a binomial pricing model, or a Monte Carlo simulation model.</w:t>
      </w:r>
    </w:p>
    <w:p>
      <w:pPr>
        <w:spacing w:after="0" w:line="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 average grant date fair values of PSUs granted and the assumptions used in the Monte Carlo simulation model for the determination of the grant date fair values of our PSUs granted during the periods presented: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 of PSUs granted</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28.22</w:t>
            </w:r>
          </w:p>
        </w:tc>
        <w:tc>
          <w:tcPr>
            <w:tcW w:w="1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22.47</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free rate</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3.64% to 3.93%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4.09% to 4.39%</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43.9% to 46.5%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43.4% to 44.2%</w:t>
            </w: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46"/>
        </w:trPr>
        <w:tc>
          <w:tcPr>
            <w:tcW w:w="806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all PSU activity during the year ended December 31, 2025:</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8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4820" w:type="dxa"/>
            <w:vAlign w:val="bottom"/>
          </w:tcPr>
          <w:p>
            <w:pPr>
              <w:spacing w:after="0"/>
              <w:rPr>
                <w:sz w:val="16"/>
                <w:szCs w:val="16"/>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16"/>
                <w:szCs w:val="16"/>
                <w:color w:val="auto"/>
              </w:rPr>
            </w:pPr>
          </w:p>
        </w:tc>
        <w:tc>
          <w:tcPr>
            <w:tcW w:w="162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5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4"/>
            <w:vMerge w:val="continue"/>
          </w:tcPr>
          <w:p>
            <w:pPr>
              <w:spacing w:after="0"/>
              <w:rPr>
                <w:sz w:val="15"/>
                <w:szCs w:val="15"/>
                <w:color w:val="auto"/>
              </w:rPr>
            </w:pPr>
          </w:p>
        </w:tc>
        <w:tc>
          <w:tcPr>
            <w:tcW w:w="15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5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3"/>
              </w:rPr>
              <w:t>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jc w:val="center"/>
              <w:ind w:right="2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5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Contractual Life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b w:val="1"/>
                <w:bCs w:val="1"/>
                <w:color w:val="auto"/>
              </w:rPr>
              <w:t>Intrinsic</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Canceled/Forfeited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(12,147)</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w:t>
            </w:r>
          </w:p>
        </w:tc>
        <w:tc>
          <w:tcPr>
            <w:tcW w:w="3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recognized stock compensation expense from PSUs of $0.6 million and $0.3 million for the years ended December 31, 2025 and 2024, respectively. As of December 31, 2025, there was a total of approximately $1.1 million of unrecognized compensation expense related to the unvested portion of the PSUs. This expense is expected to be recognized over the next 1.6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Plan</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Stock Option Plan provides for the granting of incentive and non-qualified stock options for up to 1,000,000 shares of common stock. After consideration of the activity described in detail below, a total of, 395,169 shares remained available for grant as of December 31, 2025. While the Stock Option Plan expired on February 28, 2026, all stock options that were outstanding as of December 31, 2025 will remain subject to their vesting rights through their contractual lives. Any future grants of stock options will be sourced from the Equity Incentive Plan</w:t>
      </w:r>
    </w:p>
    <w:p>
      <w:pPr>
        <w:spacing w:after="0" w:line="1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Option awards are generally granted with an exercise price equal to the market price of our stock at the date of grant; those option awards generally vest in equal increments over three years of continuous service and have ten-year contractual terms. Certain option and share awards provide for accelerated vesting if there is a change in control of the Company (as defined in the Stock Option Plan).</w:t>
      </w:r>
    </w:p>
    <w:p>
      <w:pPr>
        <w:spacing w:after="0" w:line="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fair value of each option award is estimated on the date of grant using the Black-Scholes option valuation model that applies the assumptions noted in the following table. The risk-free rate for periods within the contractual life of the option is based on the U.S. Treasury yield curve in effect at the time of grant. The expected life of options granted is based on the vesting period and historical exercise and post-vesting employment termination behavior for similar grants. We use historical data to estimate option exercise and employee termination within the valuation model; separate groups of employees that have similar historical exercise behavior are considered separately for valuation purposes.</w:t>
      </w:r>
    </w:p>
    <w:p>
      <w:pPr>
        <w:spacing w:after="0" w:line="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weighted average grant date fair values of options granted and the assumptions used in the Black-Scholes option valuation model for their determination for the periods presented: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10"/>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grant date fair value of options granted</w:t>
            </w: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free rate</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3.99 %</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65"/>
        </w:trPr>
        <w:tc>
          <w:tcPr>
            <w:tcW w:w="7900" w:type="dxa"/>
            <w:vAlign w:val="bottom"/>
            <w:gridSpan w:val="8"/>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all option activity during the year ended December 31, 2025: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820" w:type="dxa"/>
            <w:vAlign w:val="bottom"/>
          </w:tcPr>
          <w:p>
            <w:pPr>
              <w:spacing w:after="0"/>
              <w:rPr>
                <w:sz w:val="22"/>
                <w:szCs w:val="22"/>
                <w:color w:val="auto"/>
              </w:rPr>
            </w:pPr>
          </w:p>
        </w:tc>
        <w:tc>
          <w:tcPr>
            <w:tcW w:w="1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560" w:type="dxa"/>
            <w:vAlign w:val="bottom"/>
            <w:gridSpan w:val="3"/>
          </w:tcPr>
          <w:p>
            <w:pPr>
              <w:jc w:val="center"/>
              <w:ind w:right="20"/>
              <w:spacing w:after="0" w:line="189"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15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100" w:type="dxa"/>
            <w:vAlign w:val="bottom"/>
          </w:tcPr>
          <w:p>
            <w:pPr>
              <w:spacing w:after="0"/>
              <w:rPr>
                <w:sz w:val="15"/>
                <w:szCs w:val="15"/>
                <w:color w:val="auto"/>
              </w:rPr>
            </w:pPr>
          </w:p>
        </w:tc>
        <w:tc>
          <w:tcPr>
            <w:tcW w:w="1620" w:type="dxa"/>
            <w:vAlign w:val="bottom"/>
            <w:gridSpan w:val="6"/>
            <w:vMerge w:val="continue"/>
          </w:tcPr>
          <w:p>
            <w:pPr>
              <w:spacing w:after="0"/>
              <w:rPr>
                <w:sz w:val="15"/>
                <w:szCs w:val="15"/>
                <w:color w:val="auto"/>
              </w:rPr>
            </w:pPr>
          </w:p>
        </w:tc>
        <w:tc>
          <w:tcPr>
            <w:tcW w:w="156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15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Underlying</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3"/>
          </w:tcPr>
          <w:p>
            <w:pPr>
              <w:jc w:val="center"/>
              <w:ind w:right="1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3"/>
          </w:tcPr>
          <w:p>
            <w:pPr>
              <w:jc w:val="center"/>
              <w:ind w:right="20"/>
              <w:spacing w:after="0" w:line="176" w:lineRule="exact"/>
              <w:rPr>
                <w:sz w:val="20"/>
                <w:szCs w:val="20"/>
                <w:color w:val="auto"/>
              </w:rPr>
            </w:pPr>
            <w:r>
              <w:rPr>
                <w:rFonts w:ascii="Times New Roman" w:cs="Times New Roman" w:eastAsia="Times New Roman" w:hAnsi="Times New Roman"/>
                <w:sz w:val="18"/>
                <w:szCs w:val="18"/>
                <w:b w:val="1"/>
                <w:bCs w:val="1"/>
                <w:color w:val="auto"/>
              </w:rPr>
              <w:t>Contractual Life</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1"/>
                <w:szCs w:val="21"/>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Options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5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113,751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20.44</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44,250</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22.34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(14,833)</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Canceled/Forfeited</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(8,833)</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(23,167)</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22.90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111,168</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21.28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7.27</w:t>
            </w:r>
          </w:p>
        </w:tc>
        <w:tc>
          <w:tcPr>
            <w:tcW w:w="20" w:type="dxa"/>
            <w:vAlign w:val="bottom"/>
          </w:tcPr>
          <w:p>
            <w:pPr>
              <w:spacing w:after="0"/>
              <w:rPr>
                <w:sz w:val="19"/>
                <w:szCs w:val="19"/>
                <w:color w:val="auto"/>
              </w:rPr>
            </w:pP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Exercisable, December 31, 2025</w:t>
            </w: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45,919</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20.01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information about our stock options outstanding as of December 31, 2025:</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Options Exercisable</w:t>
            </w:r>
          </w:p>
        </w:tc>
        <w:tc>
          <w:tcPr>
            <w:tcW w:w="0" w:type="dxa"/>
            <w:vAlign w:val="bottom"/>
          </w:tcPr>
          <w:p>
            <w:pPr>
              <w:spacing w:after="0"/>
              <w:rPr>
                <w:sz w:val="1"/>
                <w:szCs w:val="1"/>
                <w:color w:val="auto"/>
              </w:rPr>
            </w:pPr>
          </w:p>
        </w:tc>
      </w:tr>
      <w:tr>
        <w:trPr>
          <w:trHeight w:val="174"/>
        </w:trPr>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tcPr>
          <w:p>
            <w:pPr>
              <w:jc w:val="center"/>
              <w:ind w:right="100"/>
              <w:spacing w:after="0" w:line="17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260" w:type="dxa"/>
            <w:vAlign w:val="bottom"/>
          </w:tcPr>
          <w:p>
            <w:pPr>
              <w:spacing w:after="0"/>
              <w:rPr>
                <w:sz w:val="15"/>
                <w:szCs w:val="15"/>
                <w:color w:val="auto"/>
              </w:rPr>
            </w:pPr>
          </w:p>
        </w:tc>
        <w:tc>
          <w:tcPr>
            <w:tcW w:w="13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4"/>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2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60" w:type="dxa"/>
            <w:vAlign w:val="bottom"/>
          </w:tcPr>
          <w:p>
            <w:pPr>
              <w:spacing w:after="0"/>
              <w:rPr>
                <w:sz w:val="16"/>
                <w:szCs w:val="16"/>
                <w:color w:val="auto"/>
              </w:rPr>
            </w:pPr>
          </w:p>
        </w:tc>
        <w:tc>
          <w:tcPr>
            <w:tcW w:w="1360" w:type="dxa"/>
            <w:vAlign w:val="bottom"/>
            <w:gridSpan w:val="2"/>
          </w:tcPr>
          <w:p>
            <w:pPr>
              <w:jc w:val="center"/>
              <w:ind w:right="3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75"/>
        </w:trPr>
        <w:tc>
          <w:tcPr>
            <w:tcW w:w="32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rPr>
              <w:t>Range of Exercise Prices</w:t>
            </w:r>
          </w:p>
        </w:tc>
        <w:tc>
          <w:tcPr>
            <w:tcW w:w="152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5"/>
                <w:szCs w:val="15"/>
                <w:color w:val="auto"/>
              </w:rPr>
            </w:pPr>
          </w:p>
        </w:tc>
        <w:tc>
          <w:tcPr>
            <w:tcW w:w="16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260" w:type="dxa"/>
            <w:vAlign w:val="bottom"/>
          </w:tcPr>
          <w:p>
            <w:pPr>
              <w:spacing w:after="0"/>
              <w:rPr>
                <w:sz w:val="15"/>
                <w:szCs w:val="15"/>
                <w:color w:val="auto"/>
              </w:rPr>
            </w:pPr>
          </w:p>
        </w:tc>
        <w:tc>
          <w:tcPr>
            <w:tcW w:w="1360" w:type="dxa"/>
            <w:vAlign w:val="bottom"/>
            <w:gridSpan w:val="2"/>
          </w:tcPr>
          <w:p>
            <w:pPr>
              <w:jc w:val="center"/>
              <w:ind w:right="3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15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0" w:type="dxa"/>
            <w:vAlign w:val="bottom"/>
          </w:tcPr>
          <w:p>
            <w:pPr>
              <w:spacing w:after="0"/>
              <w:rPr>
                <w:sz w:val="1"/>
                <w:szCs w:val="1"/>
                <w:color w:val="auto"/>
              </w:rPr>
            </w:pPr>
          </w:p>
        </w:tc>
      </w:tr>
      <w:tr>
        <w:trPr>
          <w:trHeight w:val="230"/>
        </w:trPr>
        <w:tc>
          <w:tcPr>
            <w:tcW w:w="3240" w:type="dxa"/>
            <w:vAlign w:val="bottom"/>
            <w:gridSpan w:val="2"/>
            <w:vMerge w:val="continue"/>
          </w:tcPr>
          <w:p>
            <w:pPr>
              <w:spacing w:after="0"/>
              <w:rPr>
                <w:sz w:val="19"/>
                <w:szCs w:val="19"/>
                <w:color w:val="auto"/>
              </w:rPr>
            </w:pPr>
          </w:p>
        </w:tc>
        <w:tc>
          <w:tcPr>
            <w:tcW w:w="1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Life (years)</w:t>
            </w:r>
          </w:p>
        </w:tc>
        <w:tc>
          <w:tcPr>
            <w:tcW w:w="260" w:type="dxa"/>
            <w:vAlign w:val="bottom"/>
          </w:tcPr>
          <w:p>
            <w:pPr>
              <w:spacing w:after="0"/>
              <w:rPr>
                <w:sz w:val="19"/>
                <w:szCs w:val="19"/>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5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223"/>
        </w:trPr>
        <w:tc>
          <w:tcPr>
            <w:tcW w:w="3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$0.01-$18.00</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19,501</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30"/>
        </w:trPr>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$18.01-$26.00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75,417</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11,834</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$26.01-$30.00</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16,250</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16,250</w:t>
            </w:r>
          </w:p>
        </w:tc>
        <w:tc>
          <w:tcPr>
            <w:tcW w:w="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0" w:type="dxa"/>
            <w:vAlign w:val="bottom"/>
          </w:tcPr>
          <w:p>
            <w:pPr>
              <w:spacing w:after="0"/>
              <w:rPr>
                <w:sz w:val="1"/>
                <w:szCs w:val="1"/>
                <w:color w:val="auto"/>
              </w:rPr>
            </w:pPr>
          </w:p>
        </w:tc>
      </w:tr>
      <w:tr>
        <w:trPr>
          <w:trHeight w:val="223"/>
        </w:trPr>
        <w:tc>
          <w:tcPr>
            <w:tcW w:w="3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111,168</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45,919</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F - 23</w:t>
            </w: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4"/>
        </w:trPr>
        <w:tc>
          <w:tcPr>
            <w:tcW w:w="85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changes in our unvested stock options during the year December 31, 2025:</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80"/>
        </w:trPr>
        <w:tc>
          <w:tcPr>
            <w:tcW w:w="8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ind w:right="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38"/>
        </w:trPr>
        <w:tc>
          <w:tcPr>
            <w:tcW w:w="80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r>
        <w:trPr>
          <w:trHeight w:val="230"/>
        </w:trPr>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0" w:type="dxa"/>
            <w:vAlign w:val="bottom"/>
          </w:tcPr>
          <w:p>
            <w:pPr>
              <w:spacing w:after="0"/>
              <w:rPr>
                <w:sz w:val="1"/>
                <w:szCs w:val="1"/>
                <w:color w:val="auto"/>
              </w:rPr>
            </w:pPr>
          </w:p>
        </w:tc>
      </w:tr>
      <w:tr>
        <w:trPr>
          <w:trHeight w:val="229"/>
        </w:trPr>
        <w:tc>
          <w:tcPr>
            <w:tcW w:w="8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0" w:type="dxa"/>
            <w:vAlign w:val="bottom"/>
          </w:tcPr>
          <w:p>
            <w:pPr>
              <w:spacing w:after="0"/>
              <w:rPr>
                <w:sz w:val="1"/>
                <w:szCs w:val="1"/>
                <w:color w:val="auto"/>
              </w:rPr>
            </w:pPr>
          </w:p>
        </w:tc>
      </w:tr>
      <w:tr>
        <w:trPr>
          <w:trHeight w:val="230"/>
        </w:trPr>
        <w:tc>
          <w:tcPr>
            <w:tcW w:w="8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Canceled/Forfeited</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0" w:type="dxa"/>
            <w:vAlign w:val="bottom"/>
          </w:tcPr>
          <w:p>
            <w:pPr>
              <w:spacing w:after="0"/>
              <w:rPr>
                <w:sz w:val="1"/>
                <w:szCs w:val="1"/>
                <w:color w:val="auto"/>
              </w:rPr>
            </w:pPr>
          </w:p>
        </w:tc>
      </w:tr>
      <w:tr>
        <w:trPr>
          <w:trHeight w:val="243"/>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recognized stock compensation expense from stock options of $0.3 million, $0.2 million and $0.1 million for the years ended December 31, 2025, 2024 and 2023, respectively. As of December 31, 2025, there was $0.4 million of unamortized compensation cost related to unvested stock options.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Long-Term Incentive Compensation</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and under certain circumstances, the Compensation Committee of our Board of Directors may grant cash-based incentive compensation awards that vest over periods greater than one year as a supplement to stock-based awards and in addition to customary annual incentive cash bonuses. Total compensation expense related to these long-term incentive awards was approximately $0.4 million for the year ended December 31, 2023. The awards associated with these compensation charges were fully vested and settled in cash prior to December 31, 2023. Accordingly, there were no amounts remaining as unrecognized compensation and no outstanding obligations as of December 31, 2025 and 2024 for these and any similar awards.</w:t>
      </w:r>
    </w:p>
    <w:p>
      <w:pPr>
        <w:spacing w:after="0" w:line="12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2024 and 2023 we sold less than $0.1 million, $0.7 million, and $0.9 million, respectively, of compressor components to N-G Joint Venture, LLC (“N-G”) our 14% joint venture. As of December 31, 2025 and 2024, we had accounts receivable of $0.1 million and $0.1 million with N-G, respectively.</w:t>
      </w:r>
    </w:p>
    <w:p>
      <w:pPr>
        <w:spacing w:after="0" w:line="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and 2023, we paid less than $0.1 million and $0.3 million, respectively, to Mill Road Capital, a shareholder that previously held more than five percent of outstanding shares, for expense reimbursements primarily related to a cooperation agreement that expired in 2025. No amounts were paid during 2025.</w:t>
      </w:r>
    </w:p>
    <w:p>
      <w:pPr>
        <w:spacing w:after="0" w:line="11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18.</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numerators and denominators of the basic and diluted earnings (loss) per share computation for the periods presented: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4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earnings per share: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19,928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4,747</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 for basic earnings per common share: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12,538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12,316</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 for diluted earnings per share: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12,538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12,316</w:t>
            </w: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stock-based compensation awards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3"/>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12,695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12,383</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0" w:name="page71"/>
    <w:bookmarkEnd w:id="7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actual number of stock-based compensation awards that were excluded from the determination of diluted earnings per share due to their anti-dilutive effect for the periods presented: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3620" w:type="dxa"/>
            <w:vAlign w:val="bottom"/>
            <w:tcBorders>
              <w:bottom w:val="single" w:sz="8" w:color="auto"/>
            </w:tcBorders>
            <w:gridSpan w:val="5"/>
          </w:tcPr>
          <w:p>
            <w:pPr>
              <w:ind w:left="1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44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89,667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129,751</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and RSUs</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10,984</w:t>
            </w:r>
          </w:p>
        </w:tc>
      </w:tr>
      <w:tr>
        <w:trPr>
          <w:trHeight w:val="248"/>
        </w:trPr>
        <w:tc>
          <w:tcPr>
            <w:tcW w:w="644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140,735</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21"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8"/>
          <w:szCs w:val="18"/>
          <w:color w:val="auto"/>
        </w:rPr>
        <w:t>On February 9, 2026, we announced that our Board of Directors declared a cash dividend of $0.11 per share to stockholders of record as of February 18, 2026. The dividend was paid on March 4, 2026 for a total of $1.4 million.</w:t>
      </w:r>
    </w:p>
    <w:p>
      <w:pPr>
        <w:spacing w:after="0" w:line="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On February 10, 2026, we entered into an exclusive listing agreement to sell the Former Headquarters Property. The proposed sale of the Former Headquarters Property as well as our ongoing effort to sell our former fabrication facility in Midland (see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are part of our broader efforts to monetize certain noncash assets. We anticipate a closing of the Former Headquarters Property in the second half of 2026.</w:t>
      </w:r>
    </w:p>
    <w:p>
      <w:pPr>
        <w:spacing w:after="0" w:line="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evaluated all events subsequent to the balance sheet date as of December 31, 2025 and through the date this report was issued and determined that there have been no other events that would require adjustments or additional disclosures to our Consolidated Financial Statements.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- 25</w:t>
      </w:r>
    </w:p>
    <w:p>
      <w:pPr>
        <w:sectPr>
          <w:pgSz w:w="11900" w:h="16838" w:orient="portrait"/>
          <w:cols w:equalWidth="0" w:num="1">
            <w:col w:w="11240"/>
          </w:cols>
          <w:pgMar w:left="320" w:top="891"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Subsidiaries of the Registrant</w:t>
      </w: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Listed below are subsidiaries of Natural Gas Services Group, Inc. with their jurisdiction of organization shown in parenthesis: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NGSG Properties, LLC (Colorado)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Rabbi Trust associated with the Company's Non-qualified Deferred Compensation Plan (Texas)</w:t>
      </w:r>
    </w:p>
    <w:p>
      <w:pPr>
        <w:sectPr>
          <w:pgSz w:w="11900" w:h="16838" w:orient="portrait"/>
          <w:cols w:equalWidth="0" w:num="1">
            <w:col w:w="11220"/>
          </w:cols>
          <w:pgMar w:left="340" w:top="891"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Natural Gas Services Group,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Southlake, Texas</w:t>
      </w:r>
    </w:p>
    <w:p>
      <w:pPr>
        <w:spacing w:after="0" w:line="200" w:lineRule="exact"/>
        <w:rPr>
          <w:sz w:val="20"/>
          <w:szCs w:val="20"/>
          <w:color w:val="auto"/>
        </w:rPr>
      </w:pPr>
    </w:p>
    <w:p>
      <w:pPr>
        <w:spacing w:after="0" w:line="2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Statements on Form S-3 (File No. 333-283794) and on Form S-8 (File Nos. 333-232269, 333-212411, 333-160063, 333-147311, 333-110954, 333-266100 and 333-288367) of our reports dated March 16, 2026 relating to the consolidated financial statements of Natural Gas Services Group, Inc. (the Company) and the effectiveness of the Company's internal control over financial reporting, appearing in this Annual Report on Form 10-K for the year ended December 31,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Ham, Langston &amp; Brezina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Houston, Texas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16, 2026</w:t>
      </w:r>
    </w:p>
    <w:p>
      <w:pPr>
        <w:sectPr>
          <w:pgSz w:w="11900" w:h="16838" w:orient="portrait"/>
          <w:cols w:equalWidth="0" w:num="1">
            <w:col w:w="11240"/>
          </w:cols>
          <w:pgMar w:left="320" w:top="931"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Certifications</w:t>
      </w:r>
    </w:p>
    <w:p>
      <w:pPr>
        <w:spacing w:after="0" w:line="2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 Justin C Jacobs, certify that:</w:t>
      </w:r>
    </w:p>
    <w:p>
      <w:pPr>
        <w:spacing w:after="0" w:line="117" w:lineRule="exact"/>
        <w:rPr>
          <w:sz w:val="20"/>
          <w:szCs w:val="20"/>
          <w:color w:val="auto"/>
        </w:rPr>
      </w:pPr>
    </w:p>
    <w:p>
      <w:pPr>
        <w:ind w:left="640" w:hanging="328"/>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Natural Gas Services Group, Inc;</w:t>
      </w:r>
    </w:p>
    <w:p>
      <w:pPr>
        <w:spacing w:after="0" w:line="117" w:lineRule="exact"/>
        <w:rPr>
          <w:rFonts w:ascii="Times New Roman" w:cs="Times New Roman" w:eastAsia="Times New Roman" w:hAnsi="Times New Roman"/>
          <w:sz w:val="18"/>
          <w:szCs w:val="18"/>
          <w:color w:val="auto"/>
        </w:rPr>
      </w:pPr>
    </w:p>
    <w:p>
      <w:pPr>
        <w:jc w:val="both"/>
        <w:ind w:left="640" w:hanging="328"/>
        <w:spacing w:after="0" w:line="266"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40" w:hanging="328"/>
        <w:spacing w:after="0" w:line="282"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40" w:hanging="328"/>
        <w:spacing w:after="0" w:line="266"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960" w:hanging="324"/>
        <w:spacing w:after="0" w:line="266" w:lineRule="auto"/>
        <w:tabs>
          <w:tab w:leader="none" w:pos="95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60" w:hanging="324"/>
        <w:spacing w:after="0" w:line="266" w:lineRule="auto"/>
        <w:tabs>
          <w:tab w:leader="none" w:pos="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60" w:hanging="324"/>
        <w:spacing w:after="0" w:line="282" w:lineRule="auto"/>
        <w:tabs>
          <w:tab w:leader="none" w:pos="95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960" w:hanging="324"/>
        <w:spacing w:after="0" w:line="266" w:lineRule="auto"/>
        <w:tabs>
          <w:tab w:leader="none" w:pos="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sz w:val="20"/>
          <w:szCs w:val="20"/>
          <w:color w:val="auto"/>
        </w:rPr>
      </w:pPr>
    </w:p>
    <w:p>
      <w:pPr>
        <w:ind w:left="640" w:right="20" w:hanging="328"/>
        <w:spacing w:after="0" w:line="282"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60" w:hanging="324"/>
        <w:spacing w:after="0" w:line="282" w:lineRule="auto"/>
        <w:tabs>
          <w:tab w:leader="none" w:pos="95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60" w:hanging="324"/>
        <w:spacing w:after="0" w:line="282" w:lineRule="auto"/>
        <w:tabs>
          <w:tab w:leader="none" w:pos="9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spacing w:after="0"/>
        <w:tabs>
          <w:tab w:leader="none" w:pos="700" w:val="left"/>
          <w:tab w:leader="none" w:pos="4540" w:val="left"/>
        </w:tabs>
        <w:rPr>
          <w:sz w:val="20"/>
          <w:szCs w:val="20"/>
          <w:color w:val="auto"/>
        </w:rPr>
      </w:pPr>
      <w:r>
        <w:rPr>
          <w:rFonts w:ascii="Times New Roman" w:cs="Times New Roman" w:eastAsia="Times New Roman" w:hAnsi="Times New Roman"/>
          <w:sz w:val="18"/>
          <w:szCs w:val="18"/>
          <w:color w:val="auto"/>
        </w:rPr>
        <w:t>Dated:</w:t>
        <w:tab/>
        <w:t>March 16, 2026</w:t>
      </w:r>
      <w:r>
        <w:rPr>
          <w:sz w:val="20"/>
          <w:szCs w:val="20"/>
          <w:color w:val="auto"/>
        </w:rPr>
        <w:tab/>
      </w:r>
      <w:r>
        <w:rPr>
          <w:rFonts w:ascii="Times New Roman" w:cs="Times New Roman" w:eastAsia="Times New Roman" w:hAnsi="Times New Roman"/>
          <w:sz w:val="18"/>
          <w:szCs w:val="18"/>
          <w:color w:val="auto"/>
        </w:rPr>
        <w:t>Natural Gas Services Group, Inc.</w:t>
      </w:r>
    </w:p>
    <w:p>
      <w:pPr>
        <w:spacing w:after="0" w:line="2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By: /s/ Justin C.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17145</wp:posOffset>
            </wp:positionV>
            <wp:extent cx="420052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3">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3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Justin C. Jacobs,</w:t>
      </w:r>
    </w:p>
    <w:p>
      <w:pPr>
        <w:spacing w:after="0" w:line="2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20"/>
          </w:cols>
          <w:pgMar w:left="340" w:top="891"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Ian M. Eckert, certify that:</w:t>
      </w:r>
    </w:p>
    <w:p>
      <w:pPr>
        <w:spacing w:after="0" w:line="185" w:lineRule="exact"/>
        <w:rPr>
          <w:sz w:val="20"/>
          <w:szCs w:val="20"/>
          <w:color w:val="auto"/>
        </w:rPr>
      </w:pPr>
    </w:p>
    <w:p>
      <w:pPr>
        <w:ind w:left="320" w:hanging="312"/>
        <w:spacing w:after="0"/>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Natural Gas Services Group, Inc;</w:t>
      </w:r>
    </w:p>
    <w:p>
      <w:pPr>
        <w:spacing w:after="0" w:line="184" w:lineRule="exact"/>
        <w:rPr>
          <w:rFonts w:ascii="Times New Roman" w:cs="Times New Roman" w:eastAsia="Times New Roman" w:hAnsi="Times New Roman"/>
          <w:sz w:val="18"/>
          <w:szCs w:val="18"/>
          <w:color w:val="auto"/>
        </w:rPr>
      </w:pPr>
    </w:p>
    <w:p>
      <w:pPr>
        <w:ind w:firstLine="8"/>
        <w:spacing w:after="0" w:line="282" w:lineRule="auto"/>
        <w:tabs>
          <w:tab w:leader="none" w:pos="37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Times New Roman" w:cs="Times New Roman" w:eastAsia="Times New Roman" w:hAnsi="Times New Roman"/>
          <w:sz w:val="18"/>
          <w:szCs w:val="18"/>
          <w:color w:val="auto"/>
        </w:rPr>
      </w:pPr>
    </w:p>
    <w:p>
      <w:pPr>
        <w:ind w:firstLine="8"/>
        <w:spacing w:after="0" w:line="282"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38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firstLine="656"/>
        <w:spacing w:after="0" w:line="266" w:lineRule="auto"/>
        <w:tabs>
          <w:tab w:leader="none" w:pos="110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firstLine="656"/>
        <w:spacing w:after="0" w:line="282" w:lineRule="auto"/>
        <w:tabs>
          <w:tab w:leader="none" w:pos="111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firstLine="656"/>
        <w:spacing w:after="0" w:line="266" w:lineRule="auto"/>
        <w:tabs>
          <w:tab w:leader="none" w:pos="111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firstLine="8"/>
        <w:spacing w:after="0" w:line="282" w:lineRule="auto"/>
        <w:tabs>
          <w:tab w:leader="none" w:pos="3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firstLine="656"/>
        <w:spacing w:after="0" w:line="282" w:lineRule="auto"/>
        <w:tabs>
          <w:tab w:leader="none" w:pos="115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firstLine="656"/>
        <w:spacing w:after="0" w:line="282" w:lineRule="auto"/>
        <w:tabs>
          <w:tab w:leader="none" w:pos="109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720" w:val="left"/>
          <w:tab w:leader="none" w:pos="4560" w:val="left"/>
        </w:tabs>
        <w:rPr>
          <w:sz w:val="20"/>
          <w:szCs w:val="20"/>
          <w:color w:val="auto"/>
        </w:rPr>
      </w:pPr>
      <w:r>
        <w:rPr>
          <w:rFonts w:ascii="Times New Roman" w:cs="Times New Roman" w:eastAsia="Times New Roman" w:hAnsi="Times New Roman"/>
          <w:sz w:val="18"/>
          <w:szCs w:val="18"/>
          <w:color w:val="auto"/>
        </w:rPr>
        <w:t>Dated:</w:t>
        <w:tab/>
        <w:t>March 16, 2026</w:t>
      </w:r>
      <w:r>
        <w:rPr>
          <w:sz w:val="20"/>
          <w:szCs w:val="20"/>
          <w:color w:val="auto"/>
        </w:rPr>
        <w:tab/>
      </w:r>
      <w:r>
        <w:rPr>
          <w:rFonts w:ascii="Times New Roman" w:cs="Times New Roman" w:eastAsia="Times New Roman" w:hAnsi="Times New Roman"/>
          <w:sz w:val="18"/>
          <w:szCs w:val="18"/>
          <w:color w:val="auto"/>
        </w:rPr>
        <w:t>Natural Gas Services Group, Inc.</w:t>
      </w:r>
    </w:p>
    <w:p>
      <w:pPr>
        <w:spacing w:after="0" w:line="25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By: /s/ Ian M. Eckert</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Ian M. Eckert</w:t>
      </w:r>
    </w:p>
    <w:p>
      <w:pPr>
        <w:spacing w:after="0" w:line="2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(Principal Accounting Officer)</w:t>
      </w:r>
    </w:p>
    <w:p>
      <w:pPr>
        <w:sectPr>
          <w:pgSz w:w="11900" w:h="16838" w:orient="portrait"/>
          <w:cols w:equalWidth="0" w:num="1">
            <w:col w:w="11240"/>
          </w:cols>
          <w:pgMar w:left="320" w:top="891"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Natural Gas Services Group, Inc. (the “Company”) on Form 10-K for the period ended December 31, 2025 as filed with the Securities and Exchange Commission on the date hereof (the “Report”), I, Justin C. Jacobs Chief Executive Officer of the Company, certify, pursuant to 18 U.S.C. §1350, as adopted pursuant to Section 906 of the Sarbanes-Oxley Act of 2002, that:</w:t>
      </w:r>
    </w:p>
    <w:p>
      <w:pPr>
        <w:spacing w:after="0" w:line="135" w:lineRule="exact"/>
        <w:rPr>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20"/>
        <w:spacing w:after="0"/>
        <w:tabs>
          <w:tab w:leader="none" w:pos="720" w:val="left"/>
          <w:tab w:leader="none" w:pos="4560" w:val="left"/>
        </w:tabs>
        <w:rPr>
          <w:sz w:val="20"/>
          <w:szCs w:val="20"/>
          <w:color w:val="auto"/>
        </w:rPr>
      </w:pPr>
      <w:r>
        <w:rPr>
          <w:rFonts w:ascii="Times New Roman" w:cs="Times New Roman" w:eastAsia="Times New Roman" w:hAnsi="Times New Roman"/>
          <w:sz w:val="18"/>
          <w:szCs w:val="18"/>
          <w:color w:val="auto"/>
        </w:rPr>
        <w:t>Dated:</w:t>
        <w:tab/>
        <w:t>March 16, 2026</w:t>
      </w:r>
      <w:r>
        <w:rPr>
          <w:sz w:val="20"/>
          <w:szCs w:val="20"/>
          <w:color w:val="auto"/>
        </w:rPr>
        <w:tab/>
      </w:r>
      <w:r>
        <w:rPr>
          <w:rFonts w:ascii="Times New Roman" w:cs="Times New Roman" w:eastAsia="Times New Roman" w:hAnsi="Times New Roman"/>
          <w:sz w:val="18"/>
          <w:szCs w:val="18"/>
          <w:color w:val="auto"/>
        </w:rPr>
        <w:t>Natural Gas Services Group, Inc.</w:t>
      </w:r>
    </w:p>
    <w:p>
      <w:pPr>
        <w:spacing w:after="0" w:line="25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By: /s/ Justin C.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17145</wp:posOffset>
            </wp:positionV>
            <wp:extent cx="420052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4">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3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Justin C. Jacobs</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891"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§1350,</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Natural Gas Services Group, Inc. (the “Company”) on Form 10-K for the period ended December 31, 2025 as filed with the Securities and Exchange Commission on the date hereof (the “Report”), I, Ian M. Eckert, Chief Financial Officer of the Company, certify, pursuant to 18 U.S.C. §1350, as adopted pursuant to Section 906 of the Sarbanes-Oxley Act of 2002, that:</w:t>
      </w:r>
    </w:p>
    <w:p>
      <w:pPr>
        <w:spacing w:after="0" w:line="135"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20"/>
        <w:spacing w:after="0"/>
        <w:tabs>
          <w:tab w:leader="none" w:pos="720" w:val="left"/>
          <w:tab w:leader="none" w:pos="4560" w:val="left"/>
        </w:tabs>
        <w:rPr>
          <w:sz w:val="20"/>
          <w:szCs w:val="20"/>
          <w:color w:val="auto"/>
        </w:rPr>
      </w:pPr>
      <w:r>
        <w:rPr>
          <w:rFonts w:ascii="Times New Roman" w:cs="Times New Roman" w:eastAsia="Times New Roman" w:hAnsi="Times New Roman"/>
          <w:sz w:val="18"/>
          <w:szCs w:val="18"/>
          <w:color w:val="auto"/>
        </w:rPr>
        <w:t>Dated:</w:t>
        <w:tab/>
        <w:t>March 16, 2026</w:t>
      </w:r>
      <w:r>
        <w:rPr>
          <w:sz w:val="20"/>
          <w:szCs w:val="20"/>
          <w:color w:val="auto"/>
        </w:rPr>
        <w:tab/>
      </w:r>
      <w:r>
        <w:rPr>
          <w:rFonts w:ascii="Times New Roman" w:cs="Times New Roman" w:eastAsia="Times New Roman" w:hAnsi="Times New Roman"/>
          <w:sz w:val="18"/>
          <w:szCs w:val="18"/>
          <w:color w:val="auto"/>
        </w:rPr>
        <w:t>Natural Gas Services Group, Inc.</w:t>
      </w:r>
    </w:p>
    <w:p>
      <w:pPr>
        <w:spacing w:after="0" w:line="25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By: /s/ Ian M. Eckert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17145</wp:posOffset>
            </wp:positionV>
            <wp:extent cx="420052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5">
                      <a:extLst>
                        <a:ext uri="{28A0092B-C50C-407E-A947-70E740481C1C}"/>
                      </a:extLst>
                    </a:blip>
                    <a:srcRect/>
                    <a:stretch>
                      <a:fillRect/>
                    </a:stretch>
                  </pic:blipFill>
                  <pic:spPr bwMode="auto">
                    <a:xfrm>
                      <a:off x="0" y="0"/>
                      <a:ext cx="4200525" cy="17145"/>
                    </a:xfrm>
                    <a:prstGeom prst="rect">
                      <a:avLst/>
                    </a:prstGeom>
                    <a:noFill/>
                  </pic:spPr>
                </pic:pic>
              </a:graphicData>
            </a:graphic>
          </wp:anchor>
        </w:drawing>
      </w:r>
    </w:p>
    <w:p>
      <w:pPr>
        <w:spacing w:after="0" w:line="3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Ian M. Eckert</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1)"/>
      <w:numFmt w:val="lowerRoman"/>
      <w:start w:val="2"/>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2"/>
    </w:lvl>
  </w:abstractNum>
  <w:abstractNum w:abstractNumId="21">
    <w:nsid w:val="2CA88611"/>
    <w:multiLevelType w:val="hybridMultilevel"/>
    <w:lvl w:ilvl="0">
      <w:lvlJc w:val="left"/>
      <w:lvlText w:val="%1."/>
      <w:numFmt w:val="decimal"/>
      <w:start w:val="3"/>
    </w:lvl>
  </w:abstractNum>
  <w:abstractNum w:abstractNumId="22">
    <w:nsid w:val="836C40E"/>
    <w:multiLevelType w:val="hybridMultilevel"/>
    <w:lvl w:ilvl="0">
      <w:lvlJc w:val="left"/>
      <w:lvlText w:val="%1"/>
      <w:numFmt w:val="decimal"/>
      <w:start w:val="19"/>
    </w:lvl>
  </w:abstractNum>
  <w:abstractNum w:abstractNumId="23">
    <w:nsid w:val="2901D82"/>
    <w:multiLevelType w:val="hybridMultilevel"/>
    <w:lvl w:ilvl="0">
      <w:lvlJc w:val="left"/>
      <w:lvlText w:val="(%1)"/>
      <w:numFmt w:val="lowerRoman"/>
      <w:start w:val="2"/>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lowerRoman"/>
      <w:start w:val="4"/>
    </w:lvl>
  </w:abstractNum>
  <w:abstractNum w:abstractNumId="26">
    <w:nsid w:val="1E7FF521"/>
    <w:multiLevelType w:val="hybridMultilevel"/>
    <w:lvl w:ilvl="0">
      <w:lvlJc w:val="left"/>
      <w:lvlText w:val="%1."/>
      <w:numFmt w:val="decimal"/>
      <w:start w:val="11"/>
    </w:lvl>
  </w:abstractNum>
  <w:abstractNum w:abstractNumId="27">
    <w:nsid w:val="7C3DBD3D"/>
    <w:multiLevelType w:val="hybridMultilevel"/>
    <w:lvl w:ilvl="0">
      <w:lvlJc w:val="left"/>
      <w:lvlText w:val="%1."/>
      <w:numFmt w:val="decimal"/>
      <w:start w:val="15"/>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1"/>
    </w:lvl>
    <w:lvl w:ilvl="1">
      <w:lvlJc w:val="left"/>
      <w:lvlText w:val="%2."/>
      <w:numFmt w:val="lowerLetter"/>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83" Type="http://schemas.openxmlformats.org/officeDocument/2006/relationships/image" Target="media/image51.png"/><Relationship Id="rId84" Type="http://schemas.openxmlformats.org/officeDocument/2006/relationships/image" Target="media/image52.png"/><Relationship Id="rId85" Type="http://schemas.openxmlformats.org/officeDocument/2006/relationships/image" Target="media/image53.png"/><Relationship Id="rId86" Type="http://schemas.openxmlformats.org/officeDocument/2006/relationships/image" Target="media/image54.png"/><Relationship Id="rId87" Type="http://schemas.openxmlformats.org/officeDocument/2006/relationships/image" Target="media/image55.png"/><Relationship Id="rId88" Type="http://schemas.openxmlformats.org/officeDocument/2006/relationships/image" Target="media/image56.png"/><Relationship Id="rId89" Type="http://schemas.openxmlformats.org/officeDocument/2006/relationships/image" Target="media/image57.png"/><Relationship Id="rId90" Type="http://schemas.openxmlformats.org/officeDocument/2006/relationships/image" Target="media/image58.png"/><Relationship Id="rId91" Type="http://schemas.openxmlformats.org/officeDocument/2006/relationships/image" Target="media/image59.png"/><Relationship Id="rId92" Type="http://schemas.openxmlformats.org/officeDocument/2006/relationships/image" Target="media/image60.png"/><Relationship Id="rId93" Type="http://schemas.openxmlformats.org/officeDocument/2006/relationships/image" Target="media/image61.png"/><Relationship Id="rId94" Type="http://schemas.openxmlformats.org/officeDocument/2006/relationships/image" Target="media/image62.png"/><Relationship Id="rId95" Type="http://schemas.openxmlformats.org/officeDocument/2006/relationships/image" Target="media/image63.png"/><Relationship Id="rId96" Type="http://schemas.openxmlformats.org/officeDocument/2006/relationships/image" Target="media/image64.png"/><Relationship Id="rId97" Type="http://schemas.openxmlformats.org/officeDocument/2006/relationships/image" Target="media/image65.png"/><Relationship Id="rId98" Type="http://schemas.openxmlformats.org/officeDocument/2006/relationships/image" Target="media/image66.png"/><Relationship Id="rId99" Type="http://schemas.openxmlformats.org/officeDocument/2006/relationships/image" Target="media/image67.png"/><Relationship Id="rId100" Type="http://schemas.openxmlformats.org/officeDocument/2006/relationships/image" Target="media/image68.png"/><Relationship Id="rId101" Type="http://schemas.openxmlformats.org/officeDocument/2006/relationships/image" Target="media/image69.png"/><Relationship Id="rId102" Type="http://schemas.openxmlformats.org/officeDocument/2006/relationships/image" Target="media/image70.png"/><Relationship Id="rId103" Type="http://schemas.openxmlformats.org/officeDocument/2006/relationships/image" Target="media/image71.png"/><Relationship Id="rId104" Type="http://schemas.openxmlformats.org/officeDocument/2006/relationships/image" Target="media/image72.png"/><Relationship Id="rId105" Type="http://schemas.openxmlformats.org/officeDocument/2006/relationships/image" Target="media/image73.png"/><Relationship Id="rId106" Type="http://schemas.openxmlformats.org/officeDocument/2006/relationships/image" Target="media/image74.png"/><Relationship Id="rId107" Type="http://schemas.openxmlformats.org/officeDocument/2006/relationships/image" Target="media/image75.png"/><Relationship Id="rId108" Type="http://schemas.openxmlformats.org/officeDocument/2006/relationships/image" Target="media/image76.png"/><Relationship Id="rId109" Type="http://schemas.openxmlformats.org/officeDocument/2006/relationships/image" Target="media/image77.png"/><Relationship Id="rId110" Type="http://schemas.openxmlformats.org/officeDocument/2006/relationships/image" Target="media/image78.png"/><Relationship Id="rId111" Type="http://schemas.openxmlformats.org/officeDocument/2006/relationships/image" Target="media/image79.png"/><Relationship Id="rId112" Type="http://schemas.openxmlformats.org/officeDocument/2006/relationships/image" Target="media/image80.png"/><Relationship Id="rId113" Type="http://schemas.openxmlformats.org/officeDocument/2006/relationships/image" Target="media/image81.png"/><Relationship Id="rId114" Type="http://schemas.openxmlformats.org/officeDocument/2006/relationships/image" Target="media/image82.png"/><Relationship Id="rId115" Type="http://schemas.openxmlformats.org/officeDocument/2006/relationships/image" Target="media/image83.png"/><Relationship Id="rId56" Type="http://schemas.openxmlformats.org/officeDocument/2006/relationships/hyperlink" Target="https://www.sec.gov/Archives/edgar/data/1084991/000101054904000711/natural10qsbex31093004.txt" TargetMode="External"/><Relationship Id="rId57" Type="http://schemas.openxmlformats.org/officeDocument/2006/relationships/hyperlink" Target="https://www.sec.gov/Archives/edgar/data/1084991/000108499121000008/finalamendedandrestatedbyl.htm" TargetMode="External"/><Relationship Id="rId58" Type="http://schemas.openxmlformats.org/officeDocument/2006/relationships/hyperlink" Target="https://www.sec.gov/Archives/edgar/data/0001084991/000108499108000020/form8-a_12b.htm" TargetMode="External"/><Relationship Id="rId59" Type="http://schemas.openxmlformats.org/officeDocument/2006/relationships/hyperlink" Target="https://www.sec.gov/Archives/edgar/data/1084991/000108499124000149/exhibit42ngs-formsx3senior.htm" TargetMode="External"/><Relationship Id="rId60" Type="http://schemas.openxmlformats.org/officeDocument/2006/relationships/hyperlink" Target="https://www.sec.gov/Archives/edgar/data/1084991/000108499124000149/exhibit44ngs-formsx3subord.htm" TargetMode="External"/><Relationship Id="rId61" Type="http://schemas.openxmlformats.org/officeDocument/2006/relationships/hyperlink" Target="https://www.sec.gov/Archives/edgar/data/1084991/000108499125000098/exhibit432019equityincenti.htm" TargetMode="External"/><Relationship Id="rId62" Type="http://schemas.openxmlformats.org/officeDocument/2006/relationships/hyperlink" Target="https://www.sec.gov/Archives/edgar/data/1084991/000108499116000073/a1998stockplanamendedandre.htm" TargetMode="External"/><Relationship Id="rId63" Type="http://schemas.openxmlformats.org/officeDocument/2006/relationships/hyperlink" Target="https://www.sec.gov/Archives/edgar/data/1084991/000108499122000056/ex10151922-retirementagree.htm" TargetMode="External"/><Relationship Id="rId64" Type="http://schemas.openxmlformats.org/officeDocument/2006/relationships/hyperlink" Target="https://www.sec.gov/Archives/edgar/data/1084991/000108499116000060/deferredcompplan.htm" TargetMode="External"/><Relationship Id="rId65" Type="http://schemas.openxmlformats.org/officeDocument/2006/relationships/hyperlink" Target="https://www.sec.gov/Archives/edgar/data/1084991/000108499123000019/exhibit101tcbamendedandres.htm" TargetMode="External"/><Relationship Id="rId66" Type="http://schemas.openxmlformats.org/officeDocument/2006/relationships/hyperlink" Target="https://www.sec.gov/Archives/edgar/data/1084991/000108499123000019/exhibit102toretcbamendedan.htm" TargetMode="External"/><Relationship Id="rId67" Type="http://schemas.openxmlformats.org/officeDocument/2006/relationships/hyperlink" Target="https://www.sec.gov/Archives/edgar/data/1084991/000108499123000124/exhibit101firstamendmentto.htm" TargetMode="External"/><Relationship Id="rId68" Type="http://schemas.openxmlformats.org/officeDocument/2006/relationships/hyperlink" Target="https://www.sec.gov/Archives/edgar/data/1084991/000108499124000066/exhibit101_secondamendme.htm" TargetMode="External"/><Relationship Id="rId71" Type="http://schemas.openxmlformats.org/officeDocument/2006/relationships/hyperlink" Target="https://www.sec.gov/Archives/edgar/data/1084991/000108499124000080/exhibit101thirdamendment.htm" TargetMode="External"/><Relationship Id="rId72" Type="http://schemas.openxmlformats.org/officeDocument/2006/relationships/hyperlink" Target="https://www.sec.gov/Archives/edgar/data/1084991/000108499125000110/ex101fourthamendmenttocred.htm" TargetMode="External"/><Relationship Id="rId73" Type="http://schemas.openxmlformats.org/officeDocument/2006/relationships/hyperlink" Target="https://www.sec.gov/Archives/edgar/data/1084991/000108499123000104/a101ngsemploymentagreement.htm" TargetMode="External"/><Relationship Id="rId74" Type="http://schemas.openxmlformats.org/officeDocument/2006/relationships/hyperlink" Target="https://www.sec.gov/Archives/edgar/data/1084991/000108499124000008/jacobemploymentagreement.htm" TargetMode="External"/><Relationship Id="rId75" Type="http://schemas.openxmlformats.org/officeDocument/2006/relationships/hyperlink" Target="https://www.sec.gov/Archives/edgar/data/1084991/000108499124000008/jacobsnoncompeteagreemen.htm" TargetMode="External"/><Relationship Id="rId76" Type="http://schemas.openxmlformats.org/officeDocument/2006/relationships/hyperlink" Target="https://www.sec.gov/Archives/edgar/data/1084991/000108499124000008/jacobsproprightsagreemen.htm" TargetMode="External"/><Relationship Id="rId77" Type="http://schemas.openxmlformats.org/officeDocument/2006/relationships/hyperlink" Target="https://www.sec.gov/Archives/edgar/data/1084991/000108499124000017/ngsformofrsuagmtforemploye.htm" TargetMode="External"/><Relationship Id="rId78" Type="http://schemas.openxmlformats.org/officeDocument/2006/relationships/hyperlink" Target="https://www.sec.gov/Archives/edgar/data/1084991/000108499124000017/ngsformofpsuagreementwithd.htm" TargetMode="External"/><Relationship Id="rId79" Type="http://schemas.openxmlformats.org/officeDocument/2006/relationships/hyperlink" Target="https://www.sec.gov/Archives/edgar/data/1084991/000108499124000107/ex101employmentagreement.htm" TargetMode="External"/><Relationship Id="rId80" Type="http://schemas.openxmlformats.org/officeDocument/2006/relationships/hyperlink" Target="https://www.sec.gov/Archives/edgar/data/1084991/000108499125000065/a033125-ngsxex102indemnifi.htm" TargetMode="External"/><Relationship Id="rId81" Type="http://schemas.openxmlformats.org/officeDocument/2006/relationships/hyperlink" Target="https://www.sec.gov/Archives/edgar/data/1084991/000108499125000112/ex101separationagreement.htm" TargetMode="External"/><Relationship Id="rId82" Type="http://schemas.openxmlformats.org/officeDocument/2006/relationships/hyperlink" Target="https://www.sec.gov/Archives/edgar/data/1084991/000108499124000017/ngs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2026-03-16T15:10:36Z</dcterms:created>
  <dcterms:modified xsi:type="dcterms:W3CDTF">2026-03-16T15:10:36Z</dcterms:modified>
</cp:coreProperties>
</file>