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June 15, 2026</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NATURAL GAS SERVICES GROUP, INC</w:t>
      </w:r>
      <w:r>
        <w:rPr>
          <w:rFonts w:ascii="Times New Roman" w:cs="Times New Roman" w:eastAsia="Times New Roman" w:hAnsi="Times New Roman"/>
          <w:sz w:val="25"/>
          <w:szCs w:val="25"/>
          <w:b w:val="1"/>
          <w:bCs w:val="1"/>
          <w:color w:val="auto"/>
        </w:rPr>
        <w:t>.</w:t>
      </w:r>
    </w:p>
    <w:p>
      <w:pPr>
        <w:spacing w:after="0" w:line="107" w:lineRule="exact"/>
        <w:rPr>
          <w:sz w:val="24"/>
          <w:szCs w:val="24"/>
          <w:color w:val="auto"/>
        </w:rPr>
      </w:pPr>
    </w:p>
    <w:tbl>
      <w:tblPr>
        <w:tblLayout w:type="fixed"/>
        <w:tblInd w:w="134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4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tc>
        <w:tc>
          <w:tcPr>
            <w:tcW w:w="2420" w:type="dxa"/>
            <w:vAlign w:val="bottom"/>
          </w:tcPr>
          <w:p>
            <w:pPr>
              <w:spacing w:after="0"/>
              <w:rPr>
                <w:sz w:val="16"/>
                <w:szCs w:val="16"/>
                <w:color w:val="auto"/>
              </w:rPr>
            </w:pPr>
          </w:p>
        </w:tc>
      </w:tr>
      <w:tr>
        <w:trPr>
          <w:trHeight w:val="202"/>
        </w:trPr>
        <w:tc>
          <w:tcPr>
            <w:tcW w:w="2140" w:type="dxa"/>
            <w:vAlign w:val="bottom"/>
          </w:tcPr>
          <w:p>
            <w:pPr>
              <w:jc w:val="center"/>
              <w:ind w:right="549"/>
              <w:spacing w:after="0"/>
              <w:rPr>
                <w:sz w:val="20"/>
                <w:szCs w:val="20"/>
                <w:color w:val="auto"/>
              </w:rPr>
            </w:pPr>
            <w:r>
              <w:rPr>
                <w:rFonts w:ascii="Times New Roman" w:cs="Times New Roman" w:eastAsia="Times New Roman" w:hAnsi="Times New Roman"/>
                <w:sz w:val="14"/>
                <w:szCs w:val="14"/>
                <w:b w:val="1"/>
                <w:bCs w:val="1"/>
                <w:color w:val="auto"/>
                <w:w w:val="99"/>
              </w:rPr>
              <w:t>Colorado</w:t>
            </w:r>
          </w:p>
        </w:tc>
        <w:tc>
          <w:tcPr>
            <w:tcW w:w="4220" w:type="dxa"/>
            <w:vAlign w:val="bottom"/>
          </w:tcPr>
          <w:p>
            <w:pPr>
              <w:jc w:val="right"/>
              <w:ind w:right="1769"/>
              <w:spacing w:after="0"/>
              <w:rPr>
                <w:sz w:val="20"/>
                <w:szCs w:val="20"/>
                <w:color w:val="auto"/>
              </w:rPr>
            </w:pPr>
            <w:r>
              <w:rPr>
                <w:rFonts w:ascii="Times New Roman" w:cs="Times New Roman" w:eastAsia="Times New Roman" w:hAnsi="Times New Roman"/>
                <w:sz w:val="14"/>
                <w:szCs w:val="14"/>
                <w:b w:val="1"/>
                <w:bCs w:val="1"/>
                <w:color w:val="auto"/>
              </w:rPr>
              <w:t>1-31398</w:t>
            </w:r>
          </w:p>
        </w:tc>
        <w:tc>
          <w:tcPr>
            <w:tcW w:w="24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75-2811855</w:t>
            </w:r>
          </w:p>
        </w:tc>
      </w:tr>
      <w:tr>
        <w:trPr>
          <w:trHeight w:val="198"/>
        </w:trPr>
        <w:tc>
          <w:tcPr>
            <w:tcW w:w="2140" w:type="dxa"/>
            <w:vAlign w:val="bottom"/>
          </w:tcPr>
          <w:p>
            <w:pPr>
              <w:jc w:val="center"/>
              <w:ind w:right="529"/>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42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6"/>
        </w:trPr>
        <w:tc>
          <w:tcPr>
            <w:tcW w:w="2140" w:type="dxa"/>
            <w:vAlign w:val="bottom"/>
          </w:tcPr>
          <w:p>
            <w:pPr>
              <w:jc w:val="center"/>
              <w:ind w:right="529"/>
              <w:spacing w:after="0"/>
              <w:rPr>
                <w:sz w:val="20"/>
                <w:szCs w:val="20"/>
                <w:color w:val="auto"/>
              </w:rPr>
            </w:pPr>
            <w:r>
              <w:rPr>
                <w:rFonts w:ascii="Times New Roman" w:cs="Times New Roman" w:eastAsia="Times New Roman" w:hAnsi="Times New Roman"/>
                <w:sz w:val="14"/>
                <w:szCs w:val="14"/>
                <w:color w:val="auto"/>
              </w:rPr>
              <w:t>of Incorporation)</w:t>
            </w: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242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08"/>
        </w:trPr>
        <w:tc>
          <w:tcPr>
            <w:tcW w:w="2140" w:type="dxa"/>
            <w:vAlign w:val="bottom"/>
          </w:tcPr>
          <w:p>
            <w:pPr>
              <w:spacing w:after="0"/>
              <w:rPr>
                <w:sz w:val="24"/>
                <w:szCs w:val="24"/>
                <w:color w:val="auto"/>
              </w:rPr>
            </w:pPr>
          </w:p>
        </w:tc>
        <w:tc>
          <w:tcPr>
            <w:tcW w:w="422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601 State Street, Suite 400</w:t>
            </w:r>
          </w:p>
        </w:tc>
        <w:tc>
          <w:tcPr>
            <w:tcW w:w="2420" w:type="dxa"/>
            <w:vAlign w:val="bottom"/>
          </w:tcPr>
          <w:p>
            <w:pPr>
              <w:spacing w:after="0"/>
              <w:rPr>
                <w:sz w:val="24"/>
                <w:szCs w:val="24"/>
                <w:color w:val="auto"/>
              </w:rPr>
            </w:pPr>
          </w:p>
        </w:tc>
      </w:tr>
      <w:tr>
        <w:trPr>
          <w:trHeight w:val="212"/>
        </w:trPr>
        <w:tc>
          <w:tcPr>
            <w:tcW w:w="2140" w:type="dxa"/>
            <w:vAlign w:val="bottom"/>
          </w:tcPr>
          <w:p>
            <w:pPr>
              <w:spacing w:after="0"/>
              <w:rPr>
                <w:sz w:val="18"/>
                <w:szCs w:val="18"/>
                <w:color w:val="auto"/>
              </w:rPr>
            </w:pPr>
          </w:p>
        </w:tc>
        <w:tc>
          <w:tcPr>
            <w:tcW w:w="422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Southlake, TX 76092</w:t>
            </w:r>
          </w:p>
        </w:tc>
        <w:tc>
          <w:tcPr>
            <w:tcW w:w="2420" w:type="dxa"/>
            <w:vAlign w:val="bottom"/>
          </w:tcPr>
          <w:p>
            <w:pPr>
              <w:spacing w:after="0"/>
              <w:rPr>
                <w:sz w:val="18"/>
                <w:szCs w:val="18"/>
                <w:color w:val="auto"/>
              </w:rPr>
            </w:pPr>
          </w:p>
        </w:tc>
      </w:tr>
      <w:tr>
        <w:trPr>
          <w:trHeight w:val="212"/>
        </w:trPr>
        <w:tc>
          <w:tcPr>
            <w:tcW w:w="2140" w:type="dxa"/>
            <w:vAlign w:val="bottom"/>
          </w:tcPr>
          <w:p>
            <w:pPr>
              <w:spacing w:after="0"/>
              <w:rPr>
                <w:sz w:val="18"/>
                <w:szCs w:val="18"/>
                <w:color w:val="auto"/>
              </w:rPr>
            </w:pPr>
          </w:p>
        </w:tc>
        <w:tc>
          <w:tcPr>
            <w:tcW w:w="422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20" w:type="dxa"/>
            <w:vAlign w:val="bottom"/>
          </w:tcPr>
          <w:p>
            <w:pPr>
              <w:spacing w:after="0"/>
              <w:rPr>
                <w:sz w:val="18"/>
                <w:szCs w:val="18"/>
                <w:color w:val="auto"/>
              </w:rPr>
            </w:pPr>
          </w:p>
        </w:tc>
      </w:tr>
      <w:tr>
        <w:trPr>
          <w:trHeight w:val="212"/>
        </w:trPr>
        <w:tc>
          <w:tcPr>
            <w:tcW w:w="2140" w:type="dxa"/>
            <w:vAlign w:val="bottom"/>
          </w:tcPr>
          <w:p>
            <w:pPr>
              <w:spacing w:after="0"/>
              <w:rPr>
                <w:sz w:val="18"/>
                <w:szCs w:val="18"/>
                <w:color w:val="auto"/>
              </w:rPr>
            </w:pPr>
          </w:p>
        </w:tc>
        <w:tc>
          <w:tcPr>
            <w:tcW w:w="42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(432) 262-2700</w:t>
            </w:r>
          </w:p>
        </w:tc>
        <w:tc>
          <w:tcPr>
            <w:tcW w:w="2420" w:type="dxa"/>
            <w:vAlign w:val="bottom"/>
          </w:tcPr>
          <w:p>
            <w:pPr>
              <w:spacing w:after="0"/>
              <w:rPr>
                <w:sz w:val="18"/>
                <w:szCs w:val="18"/>
                <w:color w:val="auto"/>
              </w:rPr>
            </w:pPr>
          </w:p>
        </w:tc>
      </w:tr>
      <w:tr>
        <w:trPr>
          <w:trHeight w:val="212"/>
        </w:trPr>
        <w:tc>
          <w:tcPr>
            <w:tcW w:w="2140" w:type="dxa"/>
            <w:vAlign w:val="bottom"/>
          </w:tcPr>
          <w:p>
            <w:pPr>
              <w:spacing w:after="0"/>
              <w:rPr>
                <w:sz w:val="18"/>
                <w:szCs w:val="18"/>
                <w:color w:val="auto"/>
              </w:rPr>
            </w:pPr>
          </w:p>
        </w:tc>
        <w:tc>
          <w:tcPr>
            <w:tcW w:w="4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420" w:type="dxa"/>
            <w:vAlign w:val="bottom"/>
          </w:tcPr>
          <w:p>
            <w:pPr>
              <w:spacing w:after="0"/>
              <w:rPr>
                <w:sz w:val="18"/>
                <w:szCs w:val="18"/>
                <w:color w:val="auto"/>
              </w:rPr>
            </w:pPr>
          </w:p>
        </w:tc>
      </w:tr>
      <w:tr>
        <w:trPr>
          <w:trHeight w:val="212"/>
        </w:trPr>
        <w:tc>
          <w:tcPr>
            <w:tcW w:w="2140" w:type="dxa"/>
            <w:vAlign w:val="bottom"/>
          </w:tcPr>
          <w:p>
            <w:pPr>
              <w:spacing w:after="0"/>
              <w:rPr>
                <w:sz w:val="18"/>
                <w:szCs w:val="18"/>
                <w:color w:val="auto"/>
              </w:rPr>
            </w:pPr>
          </w:p>
        </w:tc>
        <w:tc>
          <w:tcPr>
            <w:tcW w:w="42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2420" w:type="dxa"/>
            <w:vAlign w:val="bottom"/>
          </w:tcPr>
          <w:p>
            <w:pPr>
              <w:spacing w:after="0"/>
              <w:rPr>
                <w:sz w:val="18"/>
                <w:szCs w:val="18"/>
                <w:color w:val="auto"/>
              </w:rPr>
            </w:pPr>
          </w:p>
        </w:tc>
      </w:tr>
    </w:tbl>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General Instruction A.2.</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270" w:lineRule="exact"/>
        <w:rPr>
          <w:sz w:val="24"/>
          <w:szCs w:val="24"/>
          <w:color w:val="auto"/>
        </w:rPr>
      </w:pPr>
    </w:p>
    <w:p>
      <w:pPr>
        <w:ind w:left="680" w:hanging="16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84" w:lineRule="exact"/>
        <w:rPr>
          <w:rFonts w:ascii="MS PGothic" w:cs="MS PGothic" w:eastAsia="MS PGothic" w:hAnsi="MS PGothic"/>
          <w:sz w:val="14"/>
          <w:szCs w:val="14"/>
          <w:color w:val="auto"/>
        </w:rPr>
      </w:pPr>
    </w:p>
    <w:p>
      <w:pPr>
        <w:ind w:left="680" w:hanging="16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84" w:lineRule="exact"/>
        <w:rPr>
          <w:rFonts w:ascii="MS PGothic" w:cs="MS PGothic" w:eastAsia="MS PGothic" w:hAnsi="MS PGothic"/>
          <w:sz w:val="14"/>
          <w:szCs w:val="14"/>
          <w:color w:val="auto"/>
        </w:rPr>
      </w:pPr>
    </w:p>
    <w:p>
      <w:pPr>
        <w:ind w:left="680" w:hanging="16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84" w:lineRule="exact"/>
        <w:rPr>
          <w:rFonts w:ascii="MS PGothic" w:cs="MS PGothic" w:eastAsia="MS PGothic" w:hAnsi="MS PGothic"/>
          <w:sz w:val="14"/>
          <w:szCs w:val="14"/>
          <w:color w:val="auto"/>
        </w:rPr>
      </w:pPr>
    </w:p>
    <w:p>
      <w:pPr>
        <w:ind w:left="680" w:hanging="16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240.13e-14(c)).</w:t>
      </w:r>
    </w:p>
    <w:p>
      <w:pPr>
        <w:spacing w:after="0" w:line="87" w:lineRule="exact"/>
        <w:rPr>
          <w:sz w:val="24"/>
          <w:szCs w:val="24"/>
          <w:color w:val="auto"/>
        </w:rPr>
      </w:pPr>
    </w:p>
    <w:tbl>
      <w:tblPr>
        <w:tblLayout w:type="fixed"/>
        <w:tblInd w:w="520" w:type="dxa"/>
        <w:tblCellMar>
          <w:top w:w="0" w:type="dxa"/>
          <w:left w:w="0" w:type="dxa"/>
          <w:bottom w:w="0" w:type="dxa"/>
          <w:right w:w="0" w:type="dxa"/>
        </w:tblCellMar>
      </w:tblPr>
      <w:tr>
        <w:trPr>
          <w:trHeight w:val="165"/>
        </w:trPr>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257"/>
        </w:trPr>
        <w:tc>
          <w:tcPr>
            <w:tcW w:w="3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Trading Symbol</w:t>
            </w:r>
          </w:p>
        </w:tc>
        <w:tc>
          <w:tcPr>
            <w:tcW w:w="3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158"/>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Par Value $0.01</w:t>
            </w:r>
          </w:p>
        </w:tc>
        <w:tc>
          <w:tcPr>
            <w:tcW w:w="80" w:type="dxa"/>
            <w:vAlign w:val="bottom"/>
          </w:tcPr>
          <w:p>
            <w:pPr>
              <w:spacing w:after="0"/>
              <w:rPr>
                <w:sz w:val="13"/>
                <w:szCs w:val="13"/>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NGS</w:t>
            </w:r>
          </w:p>
        </w:tc>
        <w:tc>
          <w:tcPr>
            <w:tcW w:w="100" w:type="dxa"/>
            <w:vAlign w:val="bottom"/>
          </w:tcPr>
          <w:p>
            <w:pPr>
              <w:spacing w:after="0"/>
              <w:rPr>
                <w:sz w:val="13"/>
                <w:szCs w:val="13"/>
                <w:color w:val="auto"/>
              </w:rPr>
            </w:pPr>
          </w:p>
        </w:tc>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NYSE</w:t>
            </w:r>
          </w:p>
        </w:tc>
      </w:tr>
    </w:tbl>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1" w:lineRule="exact"/>
        <w:rPr>
          <w:sz w:val="24"/>
          <w:szCs w:val="24"/>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426085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1" w:name="page2"/>
    <w:bookmarkEnd w:id="1"/>
    <w:p>
      <w:pPr>
        <w:ind w:left="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91" w:lineRule="exact"/>
        <w:rPr>
          <w:sz w:val="20"/>
          <w:szCs w:val="20"/>
          <w:color w:val="auto"/>
        </w:rPr>
      </w:pPr>
    </w:p>
    <w:p>
      <w:pPr>
        <w:ind w:right="340" w:firstLine="509"/>
        <w:spacing w:after="0" w:line="284" w:lineRule="auto"/>
        <w:rPr>
          <w:sz w:val="20"/>
          <w:szCs w:val="20"/>
          <w:color w:val="auto"/>
        </w:rPr>
      </w:pPr>
      <w:r>
        <w:rPr>
          <w:rFonts w:ascii="Times New Roman" w:cs="Times New Roman" w:eastAsia="Times New Roman" w:hAnsi="Times New Roman"/>
          <w:sz w:val="14"/>
          <w:szCs w:val="14"/>
          <w:color w:val="auto"/>
        </w:rPr>
        <w:t>On June 15, 2026, Natural Gas Services Group, Inc. (the “Company”) hosted a previously announced conference call to announce the closing of its acquisition of Flatrock Compression Holdings LLC. A copy of the conference call transcript is attached hereto as Exhibit 99.1 and incorporated herein by reference.</w:t>
      </w:r>
    </w:p>
    <w:p>
      <w:pPr>
        <w:spacing w:after="0" w:line="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information in this Item 7.01 of this Current Report on Form 8-K, including Exhibit 99.1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 By filing this Current Report on Form 8-K and furnishing this information pursuant to Item 7.01, the Company makes no admission as to the materiality of any information in this Current Report on Form 8-K, including Exhibit 99.1, that is required to be disclosed solely by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880745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1"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About Natural Gas Services Group, Inc.</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Natural Gas Services Group is a leading provider of natural gas and electric compression equipment, technology and services to the energy industry. The Company rents, designs, services and maintains compressors and related equipment and parts for our customers’ oil and gas production and processing facilities, generally using equipment from OEM suppliers along with limited in-house assembly. The Company is headquartered in Southlake, Texas, with administrative offices in Midland, Texas an assembly facility located in Tulsa, Oklahoma, and service facilities located in major oil and natural gas producing basins in the continental U.S. Additional information can be found at www.ngsgi.com.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Certain statements herein (and oral statements made regarding the subjects of this release) constitute “forward-looking statements” within the meaning of the federal securities laws. Words such as “may,” “might,” “should,” “believe,” “expect,” “anticipate,” “estimate,” “continue,” “predict,” “forecast,” “project,” “plan,” “intend” or similar expressions, or statements regarding intent, belief, or current expectations, are forward-looking statements. These forward-looking statements are based upon current estimates and assumptions.</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These forward–looking statements rely on a number of assumptions concerning future events and are subject to a number of uncertainties and factors that could cause actual results to differ materially from such statements, many of which are outside the control of the Company. Forward– looking information includes, but is not limited to statements regarding: guidance or estimates related to EBITDA growth, projected capital expenditures; returns on invested capital, fundamentals of the compression industry and related oil and gas industry, valuations, compressor demand assumptions and overall industry outlook, and the ability of the Company to capitalize on any potential opportunities.</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While the Company believes that the assumptions concerning future events are reasonable, investors are cautioned that there are inherent difficulties in predicting certain important factors that could impact the future performance or results of its business. Some of these factors that could cause results to differ materially from those indicated by such forward-looking statements include, but are not limited to:</w:t>
      </w:r>
    </w:p>
    <w:p>
      <w:pPr>
        <w:spacing w:after="0" w:line="51" w:lineRule="exact"/>
        <w:rPr>
          <w:sz w:val="20"/>
          <w:szCs w:val="20"/>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in the oil and gas industry, including the supply and demand for oil and gas and volatility in the prices of oil and gas;</w:t>
      </w:r>
    </w:p>
    <w:p>
      <w:pPr>
        <w:spacing w:after="0" w:line="23" w:lineRule="exact"/>
        <w:rPr>
          <w:rFonts w:ascii="Times New Roman" w:cs="Times New Roman" w:eastAsia="Times New Roman" w:hAnsi="Times New Roman"/>
          <w:sz w:val="14"/>
          <w:szCs w:val="14"/>
          <w:color w:val="auto"/>
        </w:rPr>
      </w:pPr>
    </w:p>
    <w:p>
      <w:pPr>
        <w:jc w:val="both"/>
        <w:ind w:left="520" w:hanging="260"/>
        <w:spacing w:after="0" w:line="266"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and financial conditions, inflationary pressures, the potential for economic recession in the U.S., tariffs and trade restrictions, including the imposition of new and higher tariffs on imported goods and retaliatory tariffs implemented by other countries on U.S. goods, and the potential effects on our financial condition, results of operations and cash flows;</w:t>
      </w:r>
    </w:p>
    <w:p>
      <w:pPr>
        <w:spacing w:after="0" w:line="15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major customers;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projected organic growth due to adverse changes in the oil and gas industry, including depressed oil and gas prices, oppressive environmental regulations and competition;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achieve increased utilization of assets, including rental fleet utilization and monetizing other non-cash balance sheet assets;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customers to continue to rent equipment after expiration of the primary rental term;</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economically develop and deploy new technologies and services, including technology to comply with health and environmental laws and regulations;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achieve accretive financial results in connection with any acquisitions we may make;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interest rates;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 or prohibition of new or current well completion techniques;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among the various providers of compression services and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safety, health and environmental regulations;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economic or political conditions in the markets in which we operate;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inherent risks associated with our operations, such as equipment defects, malfunctions, natural disasters and adverse changes in customer, employee and supplier relationships;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comply with covenants in our debt agreements and the decreased financial flexibility associated with our debt;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finance our future capital requirements and availability of financing;</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threats, including increased use of artificial intelligence and other emerging technologies;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capacity availability, costs and performance of our outsourced compressor fabrication providers and overall inflationary pressures;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of world events, such as acts of terrorism, the conflicts in Iran, Ukraine, Venezuela and in the greater Middle East, and significant economic disruptions and adverse consequences resulting from possible long-term effects of potential pandemics and other public health crises; and</w:t>
      </w: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478155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 w:name="page4"/>
    <w:bookmarkEnd w:id="3"/>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these forward-looking statements are subject to other various risks and uncertainties, including without limitation those set forth in the Company’s filings with the Securities and Exchange Commission, including the Company's Annual Report on Form 10-K for the year ended December 31, 2025. Thus, actual results could be materially different. The Company expressly disclaims any obligation to update or alter statements whether as a result of new information, future events or otherwise, except as required by law.</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96" w:lineRule="exact"/>
        <w:rPr>
          <w:sz w:val="20"/>
          <w:szCs w:val="20"/>
          <w:color w:val="auto"/>
        </w:rPr>
      </w:pPr>
    </w:p>
    <w:p>
      <w:pPr>
        <w:ind w:left="200" w:hanging="195"/>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Exhibits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exhibits are included with this Current Report on Form 8-K:</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28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0" w:type="dxa"/>
            <w:vAlign w:val="bottom"/>
          </w:tcPr>
          <w:p>
            <w:pPr>
              <w:spacing w:after="0"/>
              <w:rPr>
                <w:sz w:val="16"/>
                <w:szCs w:val="16"/>
                <w:color w:val="auto"/>
              </w:rPr>
            </w:pPr>
          </w:p>
        </w:tc>
      </w:tr>
      <w:tr>
        <w:trPr>
          <w:trHeight w:val="139"/>
        </w:trPr>
        <w:tc>
          <w:tcPr>
            <w:tcW w:w="1280" w:type="dxa"/>
            <w:vAlign w:val="bottom"/>
            <w:tcBorders>
              <w:left w:val="single" w:sz="8" w:color="auto"/>
              <w:right w:val="single" w:sz="8" w:color="auto"/>
            </w:tcBorders>
            <w:gridSpan w:val="2"/>
          </w:tcPr>
          <w:p>
            <w:pPr>
              <w:ind w:left="20"/>
              <w:spacing w:after="0" w:line="139" w:lineRule="exact"/>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1</w:t>
            </w:r>
          </w:p>
        </w:tc>
        <w:tc>
          <w:tcPr>
            <w:tcW w:w="954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NGS - Flatrock Acquisition Conference Call Transcript held on June 15, 2026</w:t>
            </w:r>
          </w:p>
        </w:tc>
        <w:tc>
          <w:tcPr>
            <w:tcW w:w="460" w:type="dxa"/>
            <w:vAlign w:val="bottom"/>
          </w:tcPr>
          <w:p>
            <w:pPr>
              <w:spacing w:after="0"/>
              <w:rPr>
                <w:sz w:val="12"/>
                <w:szCs w:val="12"/>
                <w:color w:val="auto"/>
              </w:rPr>
            </w:pPr>
          </w:p>
        </w:tc>
      </w:tr>
      <w:tr>
        <w:trPr>
          <w:trHeight w:val="33"/>
        </w:trPr>
        <w:tc>
          <w:tcPr>
            <w:tcW w:w="280" w:type="dxa"/>
            <w:vAlign w:val="bottom"/>
            <w:tcBorders>
              <w:top w:val="single" w:sz="8" w:color="0000FF"/>
              <w:left w:val="single" w:sz="8" w:color="auto"/>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183"/>
        </w:trPr>
        <w:tc>
          <w:tcPr>
            <w:tcW w:w="2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00" w:type="dxa"/>
            <w:vAlign w:val="bottom"/>
            <w:tcBorders>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460" w:type="dxa"/>
            <w:vAlign w:val="bottom"/>
          </w:tcPr>
          <w:p>
            <w:pPr>
              <w:spacing w:after="0"/>
              <w:rPr>
                <w:sz w:val="15"/>
                <w:szCs w:val="15"/>
                <w:color w:val="auto"/>
              </w:rPr>
            </w:pPr>
          </w:p>
        </w:tc>
      </w:tr>
      <w:tr>
        <w:trPr>
          <w:trHeight w:val="987"/>
        </w:trPr>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 w:name="page5"/>
    <w:bookmarkEnd w:id="4"/>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tbl>
      <w:tblPr>
        <w:tblLayout w:type="fixed"/>
        <w:tblInd w:w="42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7380" w:type="dxa"/>
            <w:vAlign w:val="bottom"/>
            <w:gridSpan w:val="2"/>
          </w:tcPr>
          <w:p>
            <w:pPr>
              <w:ind w:left="2040"/>
              <w:spacing w:after="0"/>
              <w:rPr>
                <w:sz w:val="20"/>
                <w:szCs w:val="20"/>
                <w:color w:val="auto"/>
              </w:rPr>
            </w:pPr>
            <w:r>
              <w:rPr>
                <w:rFonts w:ascii="Times New Roman" w:cs="Times New Roman" w:eastAsia="Times New Roman" w:hAnsi="Times New Roman"/>
                <w:sz w:val="14"/>
                <w:szCs w:val="14"/>
                <w:b w:val="1"/>
                <w:bCs w:val="1"/>
                <w:color w:val="auto"/>
              </w:rPr>
              <w:t>NATURAL GAS SERVICES GROUP, INC.</w:t>
            </w:r>
          </w:p>
        </w:tc>
      </w:tr>
      <w:tr>
        <w:trPr>
          <w:trHeight w:val="54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Dated: June 16, 2026</w:t>
            </w:r>
          </w:p>
        </w:tc>
        <w:tc>
          <w:tcPr>
            <w:tcW w:w="274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Justin C. Jacobs</w:t>
            </w:r>
          </w:p>
        </w:tc>
      </w:tr>
      <w:tr>
        <w:trPr>
          <w:trHeight w:val="167"/>
        </w:trPr>
        <w:tc>
          <w:tcPr>
            <w:tcW w:w="3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Justin C. Jacobs</w:t>
            </w:r>
          </w:p>
        </w:tc>
      </w:tr>
      <w:tr>
        <w:trPr>
          <w:trHeight w:val="184"/>
        </w:trPr>
        <w:tc>
          <w:tcPr>
            <w:tcW w:w="32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Executive Officer</w:t>
            </w:r>
          </w:p>
        </w:tc>
      </w:tr>
    </w:tbl>
    <w:p>
      <w:pPr>
        <w:sectPr>
          <w:pgSz w:w="11900" w:h="16838" w:orient="portrait"/>
          <w:cols w:equalWidth="0" w:num="1">
            <w:col w:w="11060"/>
          </w:cols>
          <w:pgMar w:left="520" w:top="802" w:right="31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2026-06-17T05:06:31Z</dcterms:created>
  <dcterms:modified xsi:type="dcterms:W3CDTF">2026-06-17T05:06:31Z</dcterms:modified>
</cp:coreProperties>
</file>