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pPr>
      <w:r>
        <w:rPr>
          <w:rFonts w:ascii="Times New Roman;serif" w:hAnsi="Times New Roman;serif"/>
          <w:b/>
          <w:color w:val="000000"/>
          <w:sz w:val="32"/>
        </w:rPr>
        <w:t>NATURAL GAS SERVICES GROUP, INC</w:t>
      </w:r>
      <w:r>
        <w:rPr>
          <w:rFonts w:ascii="Times New Roman;serif" w:hAnsi="Times New Roman;serif"/>
          <w:b/>
          <w:color w:val="000000"/>
          <w:sz w:val="36"/>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38" w:type="dxa"/>
        <w:jc w:val="center"/>
        <w:tblInd w:w="0" w:type="dxa"/>
        <w:tblLayout w:type="fixed"/>
        <w:tblCellMar>
          <w:top w:w="28" w:type="dxa"/>
          <w:left w:w="28" w:type="dxa"/>
          <w:bottom w:w="28" w:type="dxa"/>
          <w:right w:w="28" w:type="dxa"/>
        </w:tblCellMar>
      </w:tblPr>
      <w:tblGrid>
        <w:gridCol w:w="828"/>
        <w:gridCol w:w="731"/>
        <w:gridCol w:w="736"/>
        <w:gridCol w:w="109"/>
        <w:gridCol w:w="109"/>
        <w:gridCol w:w="109"/>
        <w:gridCol w:w="762"/>
        <w:gridCol w:w="762"/>
        <w:gridCol w:w="770"/>
        <w:gridCol w:w="109"/>
        <w:gridCol w:w="109"/>
        <w:gridCol w:w="109"/>
        <w:gridCol w:w="845"/>
        <w:gridCol w:w="845"/>
        <w:gridCol w:w="1205"/>
      </w:tblGrid>
      <w:tr>
        <w:trPr/>
        <w:tc>
          <w:tcPr>
            <w:tcW w:w="8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1-31398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75-2811855</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417" w:before="40" w:after="283"/>
        <w:jc w:val="center"/>
        <w:rPr>
          <w:rFonts w:ascii="Times New Roman;serif" w:hAnsi="Times New Roman;serif"/>
          <w:b/>
          <w:color w:val="000000"/>
          <w:sz w:val="20"/>
        </w:rPr>
      </w:pPr>
      <w:r>
        <w:rPr>
          <w:rFonts w:ascii="Times New Roman;serif" w:hAnsi="Times New Roman;serif"/>
          <w:b/>
          <w:color w:val="000000"/>
          <w:sz w:val="20"/>
        </w:rPr>
        <w:t>601 State Street, Suite 400</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Southlake, TX 76092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(432) 262-2700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60"/>
        <w:jc w:val="both"/>
        <w:rPr/>
      </w:pPr>
      <w:r>
        <w:rPr/>
      </w:r>
    </w:p>
    <w:p>
      <w:pPr>
        <w:pStyle w:val="TextBody"/>
        <w:bidi w:val="0"/>
        <w:spacing w:lineRule="auto" w:line="288" w:before="0" w:after="60"/>
        <w:jc w:val="both"/>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60"/>
        <w:jc w:val="both"/>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240.13e-14(c)).</w:t>
      </w:r>
    </w:p>
    <w:tbl>
      <w:tblPr>
        <w:tblW w:w="8636" w:type="dxa"/>
        <w:jc w:val="left"/>
        <w:tblInd w:w="0" w:type="dxa"/>
        <w:tblLayout w:type="fixed"/>
        <w:tblCellMar>
          <w:top w:w="28" w:type="dxa"/>
          <w:left w:w="28" w:type="dxa"/>
          <w:bottom w:w="28" w:type="dxa"/>
          <w:right w:w="28" w:type="dxa"/>
        </w:tblCellMar>
      </w:tblPr>
      <w:tblGrid>
        <w:gridCol w:w="897"/>
        <w:gridCol w:w="789"/>
        <w:gridCol w:w="789"/>
        <w:gridCol w:w="272"/>
        <w:gridCol w:w="272"/>
        <w:gridCol w:w="272"/>
        <w:gridCol w:w="420"/>
        <w:gridCol w:w="420"/>
        <w:gridCol w:w="420"/>
        <w:gridCol w:w="272"/>
        <w:gridCol w:w="272"/>
        <w:gridCol w:w="272"/>
        <w:gridCol w:w="958"/>
        <w:gridCol w:w="958"/>
        <w:gridCol w:w="1353"/>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863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NGS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NYSE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20, 2026, Natural Gas Services Group, Inc. (the “Company”) entered into indemnification agreements (the “Indemnification Agreements”) with each of its directors and executive officers (collectively, the “Indemnitees”), effective as of July 20, 2026, which replaced and superseded any previous indemnification agreements between the Company and each such individual. The Indemnification Agreements provide for certain indemnification and advancement of expenses by the Company in connection with actions or proceedings arising out of the Indemnitees’ service as directors or officers of the Company or service to other entities at the Company’s request, on the terms and subject to the conditions set forth therein.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Indemnification Agreements is not complete and is subject to and qualified in its entirety by reference to the complete text of the Indemnification Agreements, the form of which is attached hereto as Exhibit 10.1 and incorporated herein by reference.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3.03.    Material Modification of Rights of Security Holders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reported on Form 8-K filed with the Securities and Exchange Commission (the “SEC”) on June 11, 2026, at the Company’s 2026 Annual Meeting of Shareholders held on June 10, 2026, shareholders holding a majority of the outstanding shares of the Company’s common stock entitled to vote thereon approved and adopted the redomestication of the Company from the State of Colorado to the State of Texas (the “Redomestication ”) by means of a plan of conversion (the “Plan of Conversion”), as described in the Company’s definitive proxy statement on Schedule 14A filed with the SEC on April 28, 2026 (the “Proxy Statement”). Pursuant to the Plan of Conversion, the Company effected the Redomestication on July 20, 2026 (the “Effective Date”) by filing: (i) a statement of conversion with the Secretary of State of the State of Colorado, (ii) a certificate of conversion with the Secretary of State of the State of Texas and (iii) a certificate of formation with the Secretary of State of the State of Texas (the “Texas Charter”). The Company also adopted new bylaws (the “Texas Bylaws”) to reflect the Redomestication.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 the adoption of the Plan of Conversion, on the Effective Date of the Redomestication: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continues its existence as a Texas corporation (the “Texas Corporation”) and continues to operate its business under the current name, ‘‘Natural Gas Services Group, Inc.’’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internal affairs of and the rights of shareholders of the Company ceased to be governed by Colorado law and are instead governed by Texas law.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is now governed by the provisions of the Texas Charter and the Texas Bylaws.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Redomestication did not result in any change in the Company’s headquarters, business, jobs, management, number of employees, obligations, assets, liabilities or net worth (other than as a result of the transaction costs related to the Redomestication).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Each outstanding share of common stock, par value $0.01 per share of the Company, automatically converted into one outstanding share of common stock, par value $0.01 per share of the Texas Corporation.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Shareholders of the Company are not required to exchange their existing stock certificates for new stock certificates.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Each outstanding restricted stock unit, performance share unit, option, or right to acquire shares of the Company, as applicable, continues in existence in the form of and automatically became a restricted stock unit, performance share unit, option, or right to acquire an equal number of shares of common stock of the Texas Corporation, as applicable, under the same terms and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common stock of the Texas Corporation resulting from the conversion continues to be traded on the New York Stock Exchange under the current symbol “NGS”. The Redomestication did not cause any interruption in the trading of such common stock. The CUSIP number for the common stock remains 63886Q109.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Redomestication did not adversely affect any of the Company’s material contracts with any third parties, and the Company’s rights and obligations under those material contractual arrangements continue to be the rights and obligations of the Texas Corporation.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Redomestication did not have any material adverse accounting implications for the Company.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rights of the Company’s shareholders were changed as a result of the Redomestication. A more detailed description of the Plan of Conversion, Texas Charter, and Texas Bylaws, and the effects of the Redomestication, is set forth under “PROPOSAL 4 – APPROVE THE REDOMESTICATION OF THE COMPANY FROM COLORADO TO TEXAS BY CONVERSION” of the Proxy Statement.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Plan of Conversion, the Texas Charter and the Texas Bylaws do not purport to be complete and are subject to and qualified in their entirety by the full text of Plan of Conversion, the Texas Charter and the Texas Bylaws, copies of which are attached hereto as Exhibit 2.1, Exhibit 3.1 and Exhibit 3.2, respectively, and are incorporated by reference herein.</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 3.03 is incorporated by reference into this Item 5.03.</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legal opinion of Jones &amp; Keller, P.C. is filed as Exhibit 5.1 to this Current Report on Form 8-K and is incorporated by reference into the Company’s Registration Statements on Form S-8 (File Nos. 333-232269, 333-266100 and 333-288367), filed with the SEC on June 21, 2019, July 12, 2022 and June 27, 2025,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with this Current Report on Form 8-K:</w:t>
      </w:r>
    </w:p>
    <w:tbl>
      <w:tblPr>
        <w:tblW w:w="10184" w:type="dxa"/>
        <w:jc w:val="left"/>
        <w:tblInd w:w="0" w:type="dxa"/>
        <w:tblLayout w:type="fixed"/>
        <w:tblCellMar>
          <w:top w:w="28" w:type="dxa"/>
          <w:left w:w="28" w:type="dxa"/>
          <w:bottom w:w="28" w:type="dxa"/>
          <w:right w:w="28" w:type="dxa"/>
        </w:tblCellMar>
      </w:tblPr>
      <w:tblGrid>
        <w:gridCol w:w="391"/>
        <w:gridCol w:w="344"/>
        <w:gridCol w:w="345"/>
        <w:gridCol w:w="2660"/>
        <w:gridCol w:w="2660"/>
        <w:gridCol w:w="378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1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21planofconversion.htm">
              <w:r>
                <w:rPr>
                  <w:rStyle w:val="InternetLink"/>
                  <w:rFonts w:ascii="Times New Roman;serif" w:hAnsi="Times New Roman;serif"/>
                  <w:b w:val="false"/>
                  <w:color w:val="0000FF"/>
                  <w:sz w:val="20"/>
                  <w:u w:val="single"/>
                </w:rPr>
                <w:t>2.1</w:t>
              </w:r>
            </w:hyperlink>
          </w:p>
        </w:tc>
        <w:tc>
          <w:tcPr>
            <w:tcW w:w="91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Plan of Conversion dated July 20, 2026.</w:t>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31texascertificateofinco.htm">
              <w:r>
                <w:rPr>
                  <w:rStyle w:val="InternetLink"/>
                  <w:rFonts w:ascii="Times New Roman;serif" w:hAnsi="Times New Roman;serif"/>
                  <w:b w:val="false"/>
                  <w:color w:val="0000FF"/>
                  <w:sz w:val="20"/>
                  <w:u w:val="single"/>
                </w:rPr>
                <w:t>3.1</w:t>
              </w:r>
            </w:hyperlink>
          </w:p>
        </w:tc>
        <w:tc>
          <w:tcPr>
            <w:tcW w:w="91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Formation of Natural Gas Services Group, Inc..</w:t>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32texasbylaws.htm">
              <w:r>
                <w:rPr>
                  <w:rStyle w:val="InternetLink"/>
                  <w:rFonts w:ascii="Times New Roman;serif" w:hAnsi="Times New Roman;serif"/>
                  <w:b w:val="false"/>
                  <w:color w:val="0000FF"/>
                  <w:sz w:val="20"/>
                  <w:u w:val="single"/>
                </w:rPr>
                <w:t>3.2</w:t>
              </w:r>
            </w:hyperlink>
          </w:p>
        </w:tc>
        <w:tc>
          <w:tcPr>
            <w:tcW w:w="91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Natural Gas Services Group, Inc..</w:t>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51updatedopinionofjonesk.htm">
              <w:r>
                <w:rPr>
                  <w:rStyle w:val="InternetLink"/>
                  <w:rFonts w:ascii="Times New Roman;serif" w:hAnsi="Times New Roman;serif"/>
                  <w:b w:val="false"/>
                  <w:color w:val="0000FF"/>
                  <w:sz w:val="20"/>
                  <w:u w:val="single"/>
                </w:rPr>
                <w:t>5.1</w:t>
              </w:r>
            </w:hyperlink>
          </w:p>
        </w:tc>
        <w:tc>
          <w:tcPr>
            <w:tcW w:w="91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Jones &amp; Keller, P.C. (contained in Exhibit 5.1)..</w:t>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101formofindemnification.htm">
              <w:r>
                <w:rPr>
                  <w:rStyle w:val="InternetLink"/>
                  <w:rFonts w:ascii="Times New Roman;serif" w:hAnsi="Times New Roman;serif"/>
                  <w:b w:val="false"/>
                  <w:color w:val="0000FF"/>
                  <w:sz w:val="20"/>
                  <w:u w:val="single"/>
                </w:rPr>
                <w:t>10.1</w:t>
              </w:r>
            </w:hyperlink>
          </w:p>
        </w:tc>
        <w:tc>
          <w:tcPr>
            <w:tcW w:w="91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 by and between Natural Gas Services Group, Inc. and Certain Indemnitees.</w:t>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1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Jones &amp; Keller, P.C. (contained in Exhibit 5.1).</w:t>
            </w:r>
          </w:p>
        </w:tc>
      </w:tr>
      <w:tr>
        <w:trPr/>
        <w:tc>
          <w:tcPr>
            <w:tcW w:w="108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0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22" w:type="dxa"/>
        <w:jc w:val="center"/>
        <w:tblInd w:w="0" w:type="dxa"/>
        <w:tblLayout w:type="fixed"/>
        <w:tblCellMar>
          <w:top w:w="28" w:type="dxa"/>
          <w:left w:w="28" w:type="dxa"/>
          <w:bottom w:w="28" w:type="dxa"/>
          <w:right w:w="28" w:type="dxa"/>
        </w:tblCellMar>
      </w:tblPr>
      <w:tblGrid>
        <w:gridCol w:w="124"/>
        <w:gridCol w:w="109"/>
        <w:gridCol w:w="109"/>
        <w:gridCol w:w="599"/>
        <w:gridCol w:w="599"/>
        <w:gridCol w:w="602"/>
        <w:gridCol w:w="109"/>
        <w:gridCol w:w="109"/>
        <w:gridCol w:w="109"/>
        <w:gridCol w:w="398"/>
        <w:gridCol w:w="398"/>
        <w:gridCol w:w="398"/>
        <w:gridCol w:w="398"/>
        <w:gridCol w:w="398"/>
        <w:gridCol w:w="398"/>
        <w:gridCol w:w="751"/>
        <w:gridCol w:w="751"/>
        <w:gridCol w:w="1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NATURAL GAS SERVICES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Justin C. Jacobs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PLAN OF CONVERSION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This Plan of Conversion (this “</w:t>
      </w:r>
      <w:r>
        <w:rPr>
          <w:rFonts w:ascii="Adelle Sans;sans-serif" w:hAnsi="Adelle Sans;sans-serif"/>
          <w:b/>
          <w:color w:val="000000"/>
          <w:sz w:val="20"/>
        </w:rPr>
        <w:t>Plan</w:t>
      </w:r>
      <w:r>
        <w:rPr>
          <w:color w:val="000000"/>
        </w:rPr>
        <w:t>”</w:t>
      </w:r>
      <w:r>
        <w:rPr>
          <w:rFonts w:ascii="Adelle Sans;sans-serif" w:hAnsi="Adelle Sans;sans-serif"/>
          <w:b w:val="false"/>
          <w:color w:val="000000"/>
          <w:sz w:val="20"/>
        </w:rPr>
        <w:t>) is adopted as of July 20, 2026 and sets forth certain terms of the conversion of NATURAL GAS SERVICES GROUP, INC., a Colorado corporation (the “</w:t>
      </w:r>
      <w:r>
        <w:rPr>
          <w:rFonts w:ascii="Adelle Sans;sans-serif" w:hAnsi="Adelle Sans;sans-serif"/>
          <w:b/>
          <w:color w:val="000000"/>
          <w:sz w:val="20"/>
        </w:rPr>
        <w:t>Colorado Corporation</w:t>
      </w:r>
      <w:r>
        <w:rPr>
          <w:color w:val="000000"/>
        </w:rPr>
        <w:t>”</w:t>
      </w:r>
      <w:r>
        <w:rPr>
          <w:rFonts w:ascii="Adelle Sans;sans-serif" w:hAnsi="Adelle Sans;sans-serif"/>
          <w:b w:val="false"/>
          <w:color w:val="000000"/>
          <w:sz w:val="20"/>
        </w:rPr>
        <w:t>), to a Texas corporation, pursuant to the terms of the Colorado Revised Statutes of the State of Colorado (as amended, the “</w:t>
      </w:r>
      <w:r>
        <w:rPr>
          <w:rFonts w:ascii="Adelle Sans;sans-serif" w:hAnsi="Adelle Sans;sans-serif"/>
          <w:b/>
          <w:color w:val="000000"/>
          <w:sz w:val="20"/>
        </w:rPr>
        <w:t>CRS</w:t>
      </w:r>
      <w:r>
        <w:rPr>
          <w:color w:val="000000"/>
        </w:rPr>
        <w:t>”</w:t>
      </w:r>
      <w:r>
        <w:rPr>
          <w:rFonts w:ascii="Adelle Sans;sans-serif" w:hAnsi="Adelle Sans;sans-serif"/>
          <w:b w:val="false"/>
          <w:color w:val="000000"/>
          <w:sz w:val="20"/>
        </w:rPr>
        <w:t>) and the Texas Business Organizations Code, as amended (the “</w:t>
      </w:r>
      <w:r>
        <w:rPr>
          <w:rFonts w:ascii="Adelle Sans;sans-serif" w:hAnsi="Adelle Sans;sans-serif"/>
          <w:b/>
          <w:color w:val="000000"/>
          <w:sz w:val="20"/>
        </w:rPr>
        <w:t>TBOC</w:t>
      </w:r>
      <w:r>
        <w:rPr>
          <w:color w:val="000000"/>
        </w:rPr>
        <w:t>”</w:t>
      </w:r>
      <w:r>
        <w:rPr>
          <w:rFonts w:ascii="Adelle Sans;sans-serif" w:hAnsi="Adelle Sans;sans-serif"/>
          <w:b w:val="false"/>
          <w:color w:val="000000"/>
          <w:sz w:val="20"/>
        </w:rPr>
        <w:t>).</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RECITALS:</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A. The Colorado Corporation was incorporated on December 17, 1998.</w:t>
      </w:r>
    </w:p>
    <w:p>
      <w:pPr>
        <w:pStyle w:val="TextBody"/>
        <w:bidi w:val="0"/>
        <w:spacing w:lineRule="auto" w:line="288" w:before="0" w:after="120"/>
        <w:ind w:left="0" w:right="0" w:firstLine="720"/>
        <w:jc w:val="both"/>
        <w:rPr/>
      </w:pPr>
      <w:r>
        <w:rPr>
          <w:rFonts w:ascii="Adelle Sans;sans-serif" w:hAnsi="Adelle Sans;sans-serif"/>
          <w:b w:val="false"/>
          <w:color w:val="000000"/>
          <w:sz w:val="20"/>
        </w:rPr>
        <w:t>B. Upon the terms and subject to the conditions set forth in this Plan, and in accordance with Section 7-90-201 of the CRS and Title 1, Chapter 10, Subchapter C of the TBOC, the Colorado Corporation will be converted to NATURAL GAS SERVICES GROUP, INC., a Texas corporation (the “</w:t>
      </w:r>
      <w:r>
        <w:rPr>
          <w:rFonts w:ascii="Adelle Sans;sans-serif" w:hAnsi="Adelle Sans;sans-serif"/>
          <w:b/>
          <w:color w:val="000000"/>
          <w:sz w:val="20"/>
        </w:rPr>
        <w:t>Texas Corporation</w:t>
      </w:r>
      <w:r>
        <w:rPr>
          <w:color w:val="000000"/>
        </w:rPr>
        <w:t>”</w:t>
      </w:r>
      <w:r>
        <w:rPr>
          <w:rFonts w:ascii="Adelle Sans;sans-serif" w:hAnsi="Adelle Sans;sans-serif"/>
          <w:b w:val="false"/>
          <w:color w:val="000000"/>
          <w:sz w:val="20"/>
        </w:rPr>
        <w:t>).</w:t>
      </w:r>
    </w:p>
    <w:p>
      <w:pPr>
        <w:pStyle w:val="TextBody"/>
        <w:bidi w:val="0"/>
        <w:spacing w:lineRule="auto" w:line="288" w:before="0" w:after="120"/>
        <w:ind w:left="0" w:right="0" w:firstLine="720"/>
        <w:jc w:val="both"/>
        <w:rPr/>
      </w:pPr>
      <w:r>
        <w:rPr>
          <w:rFonts w:ascii="Adelle Sans;sans-serif" w:hAnsi="Adelle Sans;sans-serif"/>
          <w:b w:val="false"/>
          <w:color w:val="000000"/>
          <w:sz w:val="20"/>
        </w:rPr>
        <w:t>C. The Board of Directors of the Colorado Corporation (the “</w:t>
      </w:r>
      <w:r>
        <w:rPr>
          <w:rFonts w:ascii="Adelle Sans;sans-serif" w:hAnsi="Adelle Sans;sans-serif"/>
          <w:b/>
          <w:color w:val="000000"/>
          <w:sz w:val="20"/>
        </w:rPr>
        <w:t>Board</w:t>
      </w:r>
      <w:r>
        <w:rPr>
          <w:color w:val="000000"/>
        </w:rPr>
        <w:t>”</w:t>
      </w:r>
      <w:r>
        <w:rPr>
          <w:rFonts w:ascii="Adelle Sans;sans-serif" w:hAnsi="Adelle Sans;sans-serif"/>
          <w:b w:val="false"/>
          <w:color w:val="000000"/>
          <w:sz w:val="20"/>
        </w:rPr>
        <w:t>) has unanimously (i) determined that the Conversion (as defined below) is advisable and in the best interests of the Colorado Corporation and its stockholders and recommended the approval of the Conversion by the stockholders of the Colorado Corporation and (ii) approved and adopted this Plan, the Conversion and the other documents and transactions contemplated by this Plan, including the Texas Charter, the Texas Bylaws, the Texas Certificate of Conversion and the Colorado Statement of Conversion (as each is defined below).</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D. The stockholders of the Colorado Corporation have approved and adopted this Plan, the Conversion and the other documents and transactions contemplated by this Plan, including the Texas Charter, the Texas Bylaws, the Texas Certificate of Conversion and the Colorado Statement of Conversion.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E. In connection with the Conversion, at the Effective Time (as defined below), each share of Common Stock, par value $0.01 per share (the “</w:t>
      </w:r>
      <w:r>
        <w:rPr>
          <w:rFonts w:ascii="Adelle Sans;sans-serif" w:hAnsi="Adelle Sans;sans-serif"/>
          <w:b/>
          <w:color w:val="000000"/>
          <w:sz w:val="20"/>
        </w:rPr>
        <w:t>Colorado Common Stock</w:t>
      </w:r>
      <w:r>
        <w:rPr>
          <w:color w:val="000000"/>
        </w:rPr>
        <w:t>”</w:t>
      </w:r>
      <w:r>
        <w:rPr>
          <w:rFonts w:ascii="Adelle Sans;sans-serif" w:hAnsi="Adelle Sans;sans-serif"/>
          <w:b w:val="false"/>
          <w:color w:val="000000"/>
          <w:sz w:val="20"/>
        </w:rPr>
        <w:t>), and each share of Preferred Stock, par value $0.01 per share that was not designated a Colorado Series A Preferred Stock (the “</w:t>
      </w:r>
      <w:r>
        <w:rPr>
          <w:rFonts w:ascii="Adelle Sans;sans-serif" w:hAnsi="Adelle Sans;sans-serif"/>
          <w:b/>
          <w:color w:val="000000"/>
          <w:sz w:val="20"/>
        </w:rPr>
        <w:t>Colorado Preferred Stock</w:t>
      </w:r>
      <w:r>
        <w:rPr>
          <w:color w:val="000000"/>
        </w:rPr>
        <w:t>”</w:t>
      </w:r>
      <w:r>
        <w:rPr>
          <w:rFonts w:ascii="Adelle Sans;sans-serif" w:hAnsi="Adelle Sans;sans-serif"/>
          <w:b w:val="false"/>
          <w:color w:val="000000"/>
          <w:sz w:val="20"/>
        </w:rPr>
        <w:t>), of the Colorado Corporation issued and outstanding (or held in treasury) immediately prior to the Effective Time shall be converted into one share of Common Stock, par value $0.01 per share (the “</w:t>
      </w:r>
      <w:r>
        <w:rPr>
          <w:rFonts w:ascii="Adelle Sans;sans-serif" w:hAnsi="Adelle Sans;sans-serif"/>
          <w:b/>
          <w:color w:val="000000"/>
          <w:sz w:val="20"/>
        </w:rPr>
        <w:t>Texas Common Stock</w:t>
      </w:r>
      <w:r>
        <w:rPr>
          <w:color w:val="000000"/>
        </w:rPr>
        <w:t>”</w:t>
      </w:r>
      <w:r>
        <w:rPr>
          <w:rFonts w:ascii="Adelle Sans;sans-serif" w:hAnsi="Adelle Sans;sans-serif"/>
          <w:b w:val="false"/>
          <w:color w:val="000000"/>
          <w:sz w:val="20"/>
        </w:rPr>
        <w:t>), and one share of Preferred Stock, par value $0.01 per share (the “</w:t>
      </w:r>
      <w:r>
        <w:rPr>
          <w:rFonts w:ascii="Adelle Sans;sans-serif" w:hAnsi="Adelle Sans;sans-serif"/>
          <w:b/>
          <w:color w:val="000000"/>
          <w:sz w:val="20"/>
        </w:rPr>
        <w:t>Texas Preferred Stock</w:t>
      </w:r>
      <w:r>
        <w:rPr>
          <w:color w:val="000000"/>
        </w:rPr>
        <w:t>”</w:t>
      </w:r>
      <w:r>
        <w:rPr>
          <w:rFonts w:ascii="Adelle Sans;sans-serif" w:hAnsi="Adelle Sans;sans-serif"/>
          <w:b w:val="false"/>
          <w:color w:val="000000"/>
          <w:sz w:val="20"/>
        </w:rPr>
        <w:t>), of the Texas Corporation, respectively.</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F. The mode of carrying out the Conversion into effect shall be as described in this Plan.</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ARTICLE I</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THE CONVERSION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1.1 </w:t>
      </w:r>
      <w:r>
        <w:rPr>
          <w:rFonts w:ascii="Adelle Sans;sans-serif" w:hAnsi="Adelle Sans;sans-serif"/>
          <w:b/>
          <w:color w:val="000000"/>
          <w:sz w:val="20"/>
        </w:rPr>
        <w:t>Conversion</w:t>
      </w:r>
      <w:r>
        <w:rPr>
          <w:rFonts w:ascii="Adelle Sans;sans-serif" w:hAnsi="Adelle Sans;sans-serif"/>
          <w:b w:val="false"/>
          <w:color w:val="000000"/>
          <w:sz w:val="20"/>
        </w:rPr>
        <w:t>. At the Effective Time, the Colorado Corporation will be converted to the Texas Corporation, pursuant to, and in accordance with, Section 7-90-201 of the CRS and Title 1, Chapter 10, Subchapter C of the TBOC (the “</w:t>
      </w:r>
      <w:r>
        <w:rPr>
          <w:rFonts w:ascii="Adelle Sans;sans-serif" w:hAnsi="Adelle Sans;sans-serif"/>
          <w:b/>
          <w:color w:val="000000"/>
          <w:sz w:val="20"/>
        </w:rPr>
        <w:t>Conversion</w:t>
      </w:r>
      <w:r>
        <w:rPr>
          <w:color w:val="000000"/>
        </w:rPr>
        <w:t>”</w:t>
      </w:r>
      <w:r>
        <w:rPr>
          <w:rFonts w:ascii="Adelle Sans;sans-serif" w:hAnsi="Adelle Sans;sans-serif"/>
          <w:b w:val="false"/>
          <w:color w:val="000000"/>
          <w:sz w:val="20"/>
        </w:rPr>
        <w:t>), whereupon the Colorado Corporation will continue its existence in the organizational form of the Texas Corporation, which will be subject to the laws of the State of Texas. The Board and the stockholders of the Colorado Corporation have approved and adopted this Plan, the Conversion and the other documents and transactions contemplated by this Plan, including the Texas Charter, the Texas Bylaws, the Texas Certificate of Conversion and the Colorado Statement of Conversion.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1.2 </w:t>
      </w:r>
      <w:r>
        <w:rPr>
          <w:rFonts w:ascii="Adelle Sans;sans-serif" w:hAnsi="Adelle Sans;sans-serif"/>
          <w:b/>
          <w:color w:val="000000"/>
          <w:sz w:val="20"/>
        </w:rPr>
        <w:t>Statement of Conversion</w:t>
      </w:r>
      <w:r>
        <w:rPr>
          <w:rFonts w:ascii="Adelle Sans;sans-serif" w:hAnsi="Adelle Sans;sans-serif"/>
          <w:b w:val="false"/>
          <w:color w:val="000000"/>
          <w:sz w:val="20"/>
        </w:rPr>
        <w:t xml:space="preserve">. The Colorado Corporation shall file a statement of conversion in the form attached hereto as </w:t>
      </w:r>
      <w:r>
        <w:rPr>
          <w:rFonts w:ascii="Adelle Sans;sans-serif" w:hAnsi="Adelle Sans;sans-serif"/>
          <w:b w:val="false"/>
          <w:color w:val="000000"/>
          <w:sz w:val="20"/>
          <w:u w:val="single"/>
        </w:rPr>
        <w:t>Exhibit A</w:t>
      </w:r>
      <w:r>
        <w:rPr>
          <w:color w:val="000000"/>
        </w:rPr>
        <w:t xml:space="preserve"> </w:t>
      </w:r>
      <w:r>
        <w:rPr>
          <w:rFonts w:ascii="Adelle Sans;sans-serif" w:hAnsi="Adelle Sans;sans-serif"/>
          <w:b w:val="false"/>
          <w:color w:val="000000"/>
          <w:sz w:val="20"/>
        </w:rPr>
        <w:t>(the “</w:t>
      </w:r>
      <w:r>
        <w:rPr>
          <w:rFonts w:ascii="Adelle Sans;sans-serif" w:hAnsi="Adelle Sans;sans-serif"/>
          <w:b/>
          <w:color w:val="000000"/>
          <w:sz w:val="20"/>
        </w:rPr>
        <w:t>Colorado Statement of Conversion</w:t>
      </w:r>
      <w:r>
        <w:rPr>
          <w:color w:val="000000"/>
        </w:rPr>
        <w:t>”</w:t>
      </w:r>
      <w:r>
        <w:rPr>
          <w:rFonts w:ascii="Adelle Sans;sans-serif" w:hAnsi="Adelle Sans;sans-serif"/>
          <w:b w:val="false"/>
          <w:color w:val="000000"/>
          <w:sz w:val="20"/>
        </w:rPr>
        <w:t>) with the Secretary of State of the State of Colorado (the “</w:t>
      </w:r>
      <w:r>
        <w:rPr>
          <w:rFonts w:ascii="Adelle Sans;sans-serif" w:hAnsi="Adelle Sans;sans-serif"/>
          <w:b/>
          <w:color w:val="000000"/>
          <w:sz w:val="20"/>
        </w:rPr>
        <w:t>Colorado Secretary of State</w:t>
      </w:r>
      <w:r>
        <w:rPr>
          <w:color w:val="000000"/>
        </w:rPr>
        <w:t>”</w:t>
      </w:r>
      <w:r>
        <w:rPr>
          <w:rFonts w:ascii="Adelle Sans;sans-serif" w:hAnsi="Adelle Sans;sans-serif"/>
          <w:b w:val="false"/>
          <w:color w:val="000000"/>
          <w:sz w:val="20"/>
        </w:rPr>
        <w:t xml:space="preserve">) and shall file a certificate of conversion in the form attached hereto as </w:t>
      </w:r>
      <w:r>
        <w:rPr>
          <w:rFonts w:ascii="Adelle Sans;sans-serif" w:hAnsi="Adelle Sans;sans-serif"/>
          <w:b w:val="false"/>
          <w:color w:val="000000"/>
          <w:sz w:val="20"/>
          <w:u w:val="single"/>
        </w:rPr>
        <w:t>Exhibit B</w:t>
      </w:r>
      <w:r>
        <w:rPr>
          <w:color w:val="000000"/>
        </w:rPr>
        <w:t xml:space="preserve"> </w:t>
      </w:r>
      <w:r>
        <w:rPr>
          <w:rFonts w:ascii="Adelle Sans;sans-serif" w:hAnsi="Adelle Sans;sans-serif"/>
          <w:b w:val="false"/>
          <w:color w:val="000000"/>
          <w:sz w:val="20"/>
        </w:rPr>
        <w:t>(the “</w:t>
      </w:r>
      <w:r>
        <w:rPr>
          <w:rFonts w:ascii="Adelle Sans;sans-serif" w:hAnsi="Adelle Sans;sans-serif"/>
          <w:b/>
          <w:color w:val="000000"/>
          <w:sz w:val="20"/>
        </w:rPr>
        <w:t>Texas Certificate of Conversion</w:t>
      </w:r>
      <w:r>
        <w:rPr>
          <w:color w:val="000000"/>
        </w:rPr>
        <w:t>”</w:t>
      </w:r>
      <w:r>
        <w:rPr>
          <w:rFonts w:ascii="Adelle Sans;sans-serif" w:hAnsi="Adelle Sans;sans-serif"/>
          <w:b w:val="false"/>
          <w:color w:val="000000"/>
          <w:sz w:val="20"/>
        </w:rPr>
        <w:t xml:space="preserve">) and the certificate of formation in the form attached hereto as </w:t>
      </w:r>
      <w:r>
        <w:rPr>
          <w:rFonts w:ascii="Adelle Sans;sans-serif" w:hAnsi="Adelle Sans;sans-serif"/>
          <w:b w:val="false"/>
          <w:color w:val="000000"/>
          <w:sz w:val="20"/>
          <w:u w:val="single"/>
        </w:rPr>
        <w:t>Exhibit C</w:t>
      </w:r>
      <w:r>
        <w:rPr>
          <w:color w:val="000000"/>
        </w:rPr>
        <w:t xml:space="preserve"> </w:t>
      </w:r>
      <w:r>
        <w:rPr>
          <w:rFonts w:ascii="Adelle Sans;sans-serif" w:hAnsi="Adelle Sans;sans-serif"/>
          <w:b w:val="false"/>
          <w:color w:val="000000"/>
          <w:sz w:val="20"/>
        </w:rPr>
        <w:t>(the “</w:t>
      </w:r>
      <w:r>
        <w:rPr>
          <w:rFonts w:ascii="Adelle Sans;sans-serif" w:hAnsi="Adelle Sans;sans-serif"/>
          <w:b/>
          <w:color w:val="000000"/>
          <w:sz w:val="20"/>
        </w:rPr>
        <w:t>Texas Charter</w:t>
      </w:r>
      <w:r>
        <w:rPr>
          <w:color w:val="000000"/>
        </w:rPr>
        <w:t>”</w:t>
      </w:r>
      <w:r>
        <w:rPr>
          <w:rFonts w:ascii="Adelle Sans;sans-serif" w:hAnsi="Adelle Sans;sans-serif"/>
          <w:b w:val="false"/>
          <w:color w:val="000000"/>
          <w:sz w:val="20"/>
        </w:rPr>
        <w:t>) and any and all documents required to be filed with the Secretary of State of the State of Texas (the “</w:t>
      </w:r>
      <w:r>
        <w:rPr>
          <w:rFonts w:ascii="Adelle Sans;sans-serif" w:hAnsi="Adelle Sans;sans-serif"/>
          <w:b/>
          <w:color w:val="000000"/>
          <w:sz w:val="20"/>
        </w:rPr>
        <w:t>Texas Secretary of State</w:t>
      </w:r>
      <w:r>
        <w:rPr>
          <w:color w:val="000000"/>
        </w:rPr>
        <w:t>”</w:t>
      </w:r>
      <w:r>
        <w:rPr>
          <w:rFonts w:ascii="Adelle Sans;sans-serif" w:hAnsi="Adelle Sans;sans-serif"/>
          <w:b w:val="false"/>
          <w:color w:val="000000"/>
          <w:sz w:val="20"/>
        </w:rPr>
        <w:t>) in connection with the Conversion and the Colorado Corporation or the Texas Corporation, as applicable, shall make all other filings or recordings required by the CRS or the TBOC in connection with the Conversion.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1.3 </w:t>
      </w:r>
      <w:r>
        <w:rPr>
          <w:rFonts w:ascii="Adelle Sans;sans-serif" w:hAnsi="Adelle Sans;sans-serif"/>
          <w:b/>
          <w:color w:val="000000"/>
          <w:sz w:val="20"/>
        </w:rPr>
        <w:t>Effective Time</w:t>
      </w:r>
      <w:r>
        <w:rPr>
          <w:rFonts w:ascii="Adelle Sans;sans-serif" w:hAnsi="Adelle Sans;sans-serif"/>
          <w:b w:val="false"/>
          <w:color w:val="000000"/>
          <w:sz w:val="20"/>
        </w:rPr>
        <w:t>. The Conversion will become effective upon the filing of the Colorado Statement of Conversion with the Colorado Secretary of State and the Texas Certificate of Conversion and the Texas Charter with the Texas Secretary of State or at such later time as specified in the Colorado Statement of Conversion and the Texas Certificate of Conversion (the “</w:t>
      </w:r>
      <w:r>
        <w:rPr>
          <w:rFonts w:ascii="Adelle Sans;sans-serif" w:hAnsi="Adelle Sans;sans-serif"/>
          <w:b/>
          <w:color w:val="000000"/>
          <w:sz w:val="20"/>
        </w:rPr>
        <w:t>Effective Time</w:t>
      </w:r>
      <w:r>
        <w:rPr>
          <w:color w:val="000000"/>
        </w:rPr>
        <w:t>”</w:t>
      </w:r>
      <w:r>
        <w:rPr>
          <w:rFonts w:ascii="Adelle Sans;sans-serif" w:hAnsi="Adelle Sans;sans-serif"/>
          <w:b w:val="false"/>
          <w:color w:val="000000"/>
          <w:sz w:val="20"/>
        </w:rPr>
        <w:t>).</w:t>
      </w:r>
    </w:p>
    <w:p>
      <w:pPr>
        <w:pStyle w:val="TextBody"/>
        <w:bidi w:val="0"/>
        <w:spacing w:before="0" w:after="1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ARTICLE II</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ORGANIZATION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2.1 </w:t>
      </w:r>
      <w:r>
        <w:rPr>
          <w:rFonts w:ascii="Adelle Sans;sans-serif" w:hAnsi="Adelle Sans;sans-serif"/>
          <w:b/>
          <w:color w:val="000000"/>
          <w:sz w:val="20"/>
        </w:rPr>
        <w:t>Texas Governing Documents</w:t>
      </w:r>
      <w:r>
        <w:rPr>
          <w:rFonts w:ascii="Adelle Sans;sans-serif" w:hAnsi="Adelle Sans;sans-serif"/>
          <w:b w:val="false"/>
          <w:color w:val="000000"/>
          <w:sz w:val="20"/>
        </w:rPr>
        <w:t xml:space="preserve">. At the Effective Time, the Texas Charter and the bylaws of the Texas Corporation in the form attached hereto as </w:t>
      </w:r>
      <w:r>
        <w:rPr>
          <w:rFonts w:ascii="Adelle Sans;sans-serif" w:hAnsi="Adelle Sans;sans-serif"/>
          <w:b w:val="false"/>
          <w:color w:val="000000"/>
          <w:sz w:val="20"/>
          <w:u w:val="single"/>
        </w:rPr>
        <w:t>Exhibit D</w:t>
      </w:r>
      <w:r>
        <w:rPr>
          <w:color w:val="000000"/>
        </w:rPr>
        <w:t xml:space="preserve"> </w:t>
      </w:r>
      <w:r>
        <w:rPr>
          <w:rFonts w:ascii="Adelle Sans;sans-serif" w:hAnsi="Adelle Sans;sans-serif"/>
          <w:b w:val="false"/>
          <w:color w:val="000000"/>
          <w:sz w:val="20"/>
        </w:rPr>
        <w:t>(the “</w:t>
      </w:r>
      <w:r>
        <w:rPr>
          <w:rFonts w:ascii="Adelle Sans;sans-serif" w:hAnsi="Adelle Sans;sans-serif"/>
          <w:b/>
          <w:color w:val="000000"/>
          <w:sz w:val="20"/>
        </w:rPr>
        <w:t>Texas Bylaws</w:t>
      </w:r>
      <w:r>
        <w:rPr>
          <w:color w:val="000000"/>
        </w:rPr>
        <w:t xml:space="preserve">” </w:t>
      </w:r>
      <w:r>
        <w:rPr>
          <w:rFonts w:ascii="Adelle Sans;sans-serif" w:hAnsi="Adelle Sans;sans-serif"/>
          <w:b w:val="false"/>
          <w:color w:val="000000"/>
          <w:sz w:val="20"/>
        </w:rPr>
        <w:t>and, together with the Texas Charter, the “</w:t>
      </w:r>
      <w:r>
        <w:rPr>
          <w:rFonts w:ascii="Adelle Sans;sans-serif" w:hAnsi="Adelle Sans;sans-serif"/>
          <w:b/>
          <w:color w:val="000000"/>
          <w:sz w:val="20"/>
        </w:rPr>
        <w:t>Texas Governing Documents</w:t>
      </w:r>
      <w:r>
        <w:rPr>
          <w:color w:val="000000"/>
        </w:rPr>
        <w:t>”</w:t>
      </w:r>
      <w:r>
        <w:rPr>
          <w:rFonts w:ascii="Adelle Sans;sans-serif" w:hAnsi="Adelle Sans;sans-serif"/>
          <w:b w:val="false"/>
          <w:color w:val="000000"/>
          <w:sz w:val="20"/>
        </w:rPr>
        <w:t>) shall govern the Texas Corporation until amended and/or restated in accordance with the Texas Governing Documents and applicable law.</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2.2 </w:t>
      </w:r>
      <w:r>
        <w:rPr>
          <w:rFonts w:ascii="Adelle Sans;sans-serif" w:hAnsi="Adelle Sans;sans-serif"/>
          <w:b/>
          <w:color w:val="000000"/>
          <w:sz w:val="20"/>
        </w:rPr>
        <w:t>Directors and Officers</w:t>
      </w:r>
      <w:r>
        <w:rPr>
          <w:rFonts w:ascii="Adelle Sans;sans-serif" w:hAnsi="Adelle Sans;sans-serif"/>
          <w:b w:val="false"/>
          <w:color w:val="000000"/>
          <w:sz w:val="20"/>
        </w:rPr>
        <w:t>. From and after the Effective Time, by virtue of the Conversion and without any further action on the part of the Colorado Corporation or its stockholders, the members of the Board and the officers of the Colorado Corporation holding their respective offices in the Colorado Corporation existing immediately prior to the Effective Time shall continue in their respective offices as members of the Board and officers of the Texas Corporation.</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ARTICLE III</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EFFECT OF THE CONVERSION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3.1 </w:t>
      </w:r>
      <w:r>
        <w:rPr>
          <w:rFonts w:ascii="Adelle Sans;sans-serif" w:hAnsi="Adelle Sans;sans-serif"/>
          <w:b/>
          <w:color w:val="000000"/>
          <w:sz w:val="20"/>
        </w:rPr>
        <w:t>Effect of Conversion</w:t>
      </w:r>
      <w:r>
        <w:rPr>
          <w:rFonts w:ascii="Adelle Sans;sans-serif" w:hAnsi="Adelle Sans;sans-serif"/>
          <w:b w:val="false"/>
          <w:color w:val="000000"/>
          <w:sz w:val="20"/>
        </w:rPr>
        <w:t>. At the Effective Time, the effect of the Conversion will be as provided by this Plan and by the applicable provisions of the CRS and the TBOC. Without limitation of the foregoing, for all purposes of the laws of the State of Colorado and the State of Texas, all of the rights, privileges, and powers of the Colorado Corporation, and all property, real, personal, and mixed, and all debts due to the Colorado Corporation, as well as all other things and causes of action belonging to the Colorado Corporation, shall remain vested in the Texas Corporation and shall be the property of the Texas Corporation, and all debts, liabilities, and duties of the Colorado Corporation shall remain attached to the Texas Corporation, and may be enforced against the Texas Corporation to the same extent as if said debts, liabilities, and duties had originally been incurred or contracted by the Texas Corporation.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3.2 </w:t>
      </w:r>
      <w:r>
        <w:rPr>
          <w:rFonts w:ascii="Adelle Sans;sans-serif" w:hAnsi="Adelle Sans;sans-serif"/>
          <w:b/>
          <w:color w:val="000000"/>
          <w:sz w:val="20"/>
        </w:rPr>
        <w:t>Conversion of Shares</w:t>
      </w:r>
      <w:r>
        <w:rPr>
          <w:rFonts w:ascii="Adelle Sans;sans-serif" w:hAnsi="Adelle Sans;sans-serif"/>
          <w:b w:val="false"/>
          <w:color w:val="000000"/>
          <w:sz w:val="20"/>
        </w:rPr>
        <w:t>. At the Effective Time, by virtue of the Conversion and without any further action by the Colorado Corporation or its stockholders, (i) each share of Colorado Common Stock issued and outstanding immediately before the Effective Time shall be converted into one share of Texas Common Stock, and all options, warrants, restricted stock units or other right to receive or acquire a share of Colorado Common Stock shall automatically be converted into an option, warrant, restricted stock unit or other entitlement to receive or acquire Texas Common Stock, and (ii) each share of Colorado Preferred Stock issued and outstanding immediately before the Effective Time shall be converted into one share of Texas Preferred Stock, and all options, warrants, restricted stock units or other right to receive or acquire a Colorado Preferred Stock share shall automatically be converted into an option, warrant, restricted stock unit or other entitlement to receive or acquire a Texas Preferred Stock share.</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ARTICLE IV</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MISCELLANEOUS</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4.1 </w:t>
      </w:r>
      <w:r>
        <w:rPr>
          <w:rFonts w:ascii="Adelle Sans;sans-serif" w:hAnsi="Adelle Sans;sans-serif"/>
          <w:b/>
          <w:color w:val="000000"/>
          <w:sz w:val="20"/>
        </w:rPr>
        <w:t>Abandonment or Amendment</w:t>
      </w:r>
      <w:r>
        <w:rPr>
          <w:rFonts w:ascii="Adelle Sans;sans-serif" w:hAnsi="Adelle Sans;sans-serif"/>
          <w:b w:val="false"/>
          <w:color w:val="000000"/>
          <w:sz w:val="20"/>
        </w:rPr>
        <w:t>. At any time prior to the filing of the Colorado Statement of Conversion with the Colorado Secretary of State, the Colorado Corporation may abandon the proposed Conversion and terminate this Plan to the extent permitted by law or may amend this Plan.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4.2 </w:t>
      </w:r>
      <w:r>
        <w:rPr>
          <w:rFonts w:ascii="Adelle Sans;sans-serif" w:hAnsi="Adelle Sans;sans-serif"/>
          <w:b/>
          <w:color w:val="000000"/>
          <w:sz w:val="20"/>
        </w:rPr>
        <w:t>Captions</w:t>
      </w:r>
      <w:r>
        <w:rPr>
          <w:rFonts w:ascii="Adelle Sans;sans-serif" w:hAnsi="Adelle Sans;sans-serif"/>
          <w:b w:val="false"/>
          <w:color w:val="000000"/>
          <w:sz w:val="20"/>
        </w:rPr>
        <w:t>. The captions in this Plan are for convenience only and shall not be considered a part, or to affect the construction or interpretation, of any provision of this Plan.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4.3 </w:t>
      </w:r>
      <w:r>
        <w:rPr>
          <w:rFonts w:ascii="Adelle Sans;sans-serif" w:hAnsi="Adelle Sans;sans-serif"/>
          <w:b/>
          <w:color w:val="000000"/>
          <w:sz w:val="20"/>
        </w:rPr>
        <w:t>Tax Reporting</w:t>
      </w:r>
      <w:r>
        <w:rPr>
          <w:rFonts w:ascii="Adelle Sans;sans-serif" w:hAnsi="Adelle Sans;sans-serif"/>
          <w:b w:val="false"/>
          <w:color w:val="000000"/>
          <w:sz w:val="20"/>
        </w:rPr>
        <w:t>. The Conversion is intended to be a “reorganization” for purposes of Section 368(a) of the Internal Revenue Code of 1986, as amended (the “</w:t>
      </w:r>
      <w:r>
        <w:rPr>
          <w:rFonts w:ascii="Adelle Sans;sans-serif" w:hAnsi="Adelle Sans;sans-serif"/>
          <w:b/>
          <w:color w:val="000000"/>
          <w:sz w:val="20"/>
        </w:rPr>
        <w:t>Code</w:t>
      </w:r>
      <w:r>
        <w:rPr>
          <w:color w:val="000000"/>
        </w:rPr>
        <w:t>”</w:t>
      </w:r>
      <w:r>
        <w:rPr>
          <w:rFonts w:ascii="Adelle Sans;sans-serif" w:hAnsi="Adelle Sans;sans-serif"/>
          <w:b w:val="false"/>
          <w:color w:val="000000"/>
          <w:sz w:val="20"/>
        </w:rPr>
        <w:t>), and this Plan is hereby adopted as a “plan of reorganization” for purposes of the Section 368(a)(1)(F) of the Code.</w:t>
      </w:r>
    </w:p>
    <w:p>
      <w:pPr>
        <w:pStyle w:val="TextBody"/>
        <w:bidi w:val="0"/>
        <w:spacing w:lineRule="auto" w:line="288" w:before="0" w:after="180"/>
        <w:ind w:left="0" w:right="0" w:firstLine="720"/>
        <w:jc w:val="both"/>
        <w:rPr/>
      </w:pPr>
      <w:r>
        <w:rPr>
          <w:rFonts w:ascii="Adelle Sans;sans-serif" w:hAnsi="Adelle Sans;sans-serif"/>
          <w:b w:val="false"/>
          <w:color w:val="000000"/>
          <w:sz w:val="20"/>
        </w:rPr>
        <w:t xml:space="preserve">4.4 </w:t>
      </w:r>
      <w:r>
        <w:rPr>
          <w:rFonts w:ascii="Adelle Sans;sans-serif" w:hAnsi="Adelle Sans;sans-serif"/>
          <w:b/>
          <w:color w:val="000000"/>
          <w:sz w:val="20"/>
        </w:rPr>
        <w:t>Governing Law</w:t>
      </w:r>
      <w:r>
        <w:rPr>
          <w:rFonts w:ascii="Adelle Sans;sans-serif" w:hAnsi="Adelle Sans;sans-serif"/>
          <w:b w:val="false"/>
          <w:color w:val="000000"/>
          <w:sz w:val="20"/>
        </w:rPr>
        <w:t>. This Plan shall be governed by, and construed and interpreted in accordance with, the laws of the State of Colorado.</w:t>
      </w:r>
    </w:p>
    <w:p>
      <w:pPr>
        <w:pStyle w:val="TextBody"/>
        <w:bidi w:val="0"/>
        <w:spacing w:before="0" w:after="12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IN WITNESS WHEREOF, this Plan has been executed on behalf of the Colorado Corporation by its officer thereunto duly authorized, as of the date first set forth above.</w:t>
      </w:r>
    </w:p>
    <w:p>
      <w:pPr>
        <w:pStyle w:val="TextBody"/>
        <w:bidi w:val="0"/>
        <w:spacing w:lineRule="auto" w:line="288" w:before="0" w:after="120"/>
        <w:ind w:left="0" w:right="0" w:firstLine="4320"/>
        <w:jc w:val="both"/>
        <w:rPr>
          <w:rFonts w:ascii="Adelle Sans;sans-serif" w:hAnsi="Adelle Sans;sans-serif"/>
          <w:b/>
          <w:color w:val="000000"/>
          <w:sz w:val="20"/>
        </w:rPr>
      </w:pPr>
      <w:r>
        <w:rPr>
          <w:rFonts w:ascii="Adelle Sans;sans-serif" w:hAnsi="Adelle Sans;sans-serif"/>
          <w:b/>
          <w:color w:val="000000"/>
          <w:sz w:val="20"/>
        </w:rPr>
        <w:t>NATURAL GAS SERVICES GROUP, INC.</w:t>
      </w:r>
    </w:p>
    <w:p>
      <w:pPr>
        <w:pStyle w:val="TextBody"/>
        <w:bidi w:val="0"/>
        <w:spacing w:lineRule="auto" w:line="288" w:before="0" w:after="120"/>
        <w:ind w:left="0" w:right="0" w:firstLine="4320"/>
        <w:jc w:val="both"/>
        <w:rPr/>
      </w:pPr>
      <w:r>
        <w:rPr>
          <w:rFonts w:ascii="Adelle Sans;sans-serif" w:hAnsi="Adelle Sans;sans-serif"/>
          <w:b w:val="false"/>
          <w:color w:val="000000"/>
          <w:sz w:val="20"/>
        </w:rPr>
        <w:t>By:</w:t>
      </w:r>
      <w:r>
        <w:rPr>
          <w:color w:val="000000"/>
          <w:u w:val="single"/>
        </w:rPr>
        <w:t xml:space="preserve"> </w:t>
      </w:r>
      <w:r>
        <w:rPr>
          <w:rFonts w:ascii="Adelle Sans;sans-serif" w:hAnsi="Adelle Sans;sans-serif"/>
          <w:b w:val="false"/>
          <w:color w:val="000000"/>
          <w:sz w:val="20"/>
          <w:u w:val="single"/>
        </w:rPr>
        <w:t>/s/ Justin C. Jacobs</w:t>
      </w:r>
    </w:p>
    <w:p>
      <w:pPr>
        <w:pStyle w:val="TextBody"/>
        <w:bidi w:val="0"/>
        <w:spacing w:lineRule="auto" w:line="288" w:before="0" w:after="0"/>
        <w:ind w:left="0" w:right="0" w:firstLine="4320"/>
        <w:jc w:val="both"/>
        <w:rPr>
          <w:rFonts w:ascii="Adelle Sans;sans-serif" w:hAnsi="Adelle Sans;sans-serif"/>
          <w:b w:val="false"/>
          <w:color w:val="000000"/>
          <w:sz w:val="20"/>
        </w:rPr>
      </w:pPr>
      <w:r>
        <w:rPr>
          <w:rFonts w:ascii="Adelle Sans;sans-serif" w:hAnsi="Adelle Sans;sans-serif"/>
          <w:b w:val="false"/>
          <w:color w:val="000000"/>
          <w:sz w:val="20"/>
        </w:rPr>
        <w:t>Name: Justin C. Jacobs</w:t>
      </w:r>
    </w:p>
    <w:p>
      <w:pPr>
        <w:pStyle w:val="TextBody"/>
        <w:bidi w:val="0"/>
        <w:spacing w:lineRule="auto" w:line="288" w:before="0" w:after="120"/>
        <w:ind w:left="0" w:right="0" w:firstLine="4320"/>
        <w:jc w:val="both"/>
        <w:rPr>
          <w:rFonts w:ascii="Adelle Sans;sans-serif" w:hAnsi="Adelle Sans;sans-serif"/>
          <w:b w:val="false"/>
          <w:color w:val="000000"/>
          <w:sz w:val="20"/>
        </w:rPr>
      </w:pPr>
      <w:r>
        <w:rPr>
          <w:rFonts w:ascii="Adelle Sans;sans-serif" w:hAnsi="Adelle Sans;sans-serif"/>
          <w:b w:val="false"/>
          <w:color w:val="000000"/>
          <w:sz w:val="20"/>
        </w:rPr>
        <w:t xml:space="preserve">Title: Chief Executive Officer </w:t>
      </w:r>
    </w:p>
    <w:p>
      <w:pPr>
        <w:pStyle w:val="TextBody"/>
        <w:bidi w:val="0"/>
        <w:spacing w:before="0" w:after="1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delle Sans;sans-serif" w:hAnsi="Adelle Sans;sans-serif"/>
          <w:b/>
          <w:color w:val="000000"/>
          <w:sz w:val="20"/>
          <w:u w:val="single"/>
        </w:rPr>
      </w:pPr>
      <w:r>
        <w:rPr>
          <w:rFonts w:ascii="Adelle Sans;sans-serif" w:hAnsi="Adelle Sans;sans-serif"/>
          <w:b/>
          <w:color w:val="000000"/>
          <w:sz w:val="20"/>
          <w:u w:val="single"/>
        </w:rPr>
        <w:t>EXHIBIT A</w:t>
      </w:r>
    </w:p>
    <w:p>
      <w:pPr>
        <w:pStyle w:val="TextBody"/>
        <w:bidi w:val="0"/>
        <w:spacing w:lineRule="auto" w:line="288" w:before="0" w:after="120"/>
        <w:jc w:val="center"/>
        <w:rPr>
          <w:rFonts w:ascii="Adelle Sans;sans-serif" w:hAnsi="Adelle Sans;sans-serif"/>
          <w:b w:val="false"/>
          <w:color w:val="000000"/>
          <w:sz w:val="20"/>
        </w:rPr>
      </w:pPr>
      <w:r>
        <w:rPr>
          <w:rFonts w:ascii="Adelle Sans;sans-serif" w:hAnsi="Adelle Sans;sans-serif"/>
          <w:b w:val="false"/>
          <w:color w:val="000000"/>
          <w:sz w:val="20"/>
        </w:rPr>
        <w:t>COLORADO STATEMENT OF CONVERSION</w:t>
      </w:r>
    </w:p>
    <w:p>
      <w:pPr>
        <w:pStyle w:val="TextBody"/>
        <w:bidi w:val="0"/>
        <w:spacing w:lineRule="auto" w:line="288" w:before="0" w:after="120"/>
        <w:jc w:val="center"/>
        <w:rPr>
          <w:rFonts w:ascii="Adelle Sans;sans-serif" w:hAnsi="Adelle Sans;sans-serif"/>
          <w:b w:val="false"/>
          <w:color w:val="000000"/>
          <w:sz w:val="20"/>
        </w:rPr>
      </w:pPr>
      <w:r>
        <w:rPr>
          <w:rFonts w:ascii="Adelle Sans;sans-serif" w:hAnsi="Adelle Sans;sans-serif"/>
          <w:b w:val="false"/>
          <w:color w:val="000000"/>
          <w:sz w:val="20"/>
        </w:rPr>
        <w:t>[Attached hereto]</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120"/>
        <w:jc w:val="center"/>
        <w:rPr>
          <w:rFonts w:ascii="Adelle Sans;sans-serif" w:hAnsi="Adelle Sans;sans-serif"/>
          <w:b/>
          <w:color w:val="000000"/>
          <w:sz w:val="20"/>
          <w:u w:val="single"/>
        </w:rPr>
      </w:pPr>
      <w:r>
        <w:rPr>
          <w:rFonts w:ascii="Adelle Sans;sans-serif" w:hAnsi="Adelle Sans;sans-serif"/>
          <w:b/>
          <w:color w:val="000000"/>
          <w:sz w:val="20"/>
          <w:u w:val="single"/>
        </w:rPr>
        <w:t>EXHIBIT B</w:t>
      </w:r>
    </w:p>
    <w:p>
      <w:pPr>
        <w:pStyle w:val="TextBody"/>
        <w:bidi w:val="0"/>
        <w:spacing w:lineRule="auto" w:line="288" w:before="0" w:after="120"/>
        <w:jc w:val="center"/>
        <w:rPr>
          <w:rFonts w:ascii="Adelle Sans;sans-serif" w:hAnsi="Adelle Sans;sans-serif"/>
          <w:b w:val="false"/>
          <w:color w:val="000000"/>
          <w:sz w:val="20"/>
        </w:rPr>
      </w:pPr>
      <w:r>
        <w:rPr>
          <w:rFonts w:ascii="Adelle Sans;sans-serif" w:hAnsi="Adelle Sans;sans-serif"/>
          <w:b w:val="false"/>
          <w:color w:val="000000"/>
          <w:sz w:val="20"/>
        </w:rPr>
        <w:t>TEXAS CERTIFICATE OF CONVERSION</w:t>
      </w:r>
    </w:p>
    <w:p>
      <w:pPr>
        <w:pStyle w:val="TextBody"/>
        <w:bidi w:val="0"/>
        <w:spacing w:lineRule="auto" w:line="288" w:before="0" w:after="120"/>
        <w:jc w:val="center"/>
        <w:rPr>
          <w:rFonts w:ascii="Adelle Sans;sans-serif" w:hAnsi="Adelle Sans;sans-serif"/>
          <w:b w:val="false"/>
          <w:color w:val="000000"/>
          <w:sz w:val="20"/>
        </w:rPr>
      </w:pPr>
      <w:r>
        <w:rPr>
          <w:rFonts w:ascii="Adelle Sans;sans-serif" w:hAnsi="Adelle Sans;sans-serif"/>
          <w:b w:val="false"/>
          <w:color w:val="000000"/>
          <w:sz w:val="20"/>
        </w:rPr>
        <w:t>[Attached hereto]</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Adelle Sans;sans-serif" w:hAnsi="Adelle Sans;sans-serif"/>
          <w:b/>
          <w:color w:val="000000"/>
          <w:sz w:val="20"/>
          <w:u w:val="single"/>
        </w:rPr>
      </w:pPr>
      <w:r>
        <w:rPr>
          <w:rFonts w:ascii="Adelle Sans;sans-serif" w:hAnsi="Adelle Sans;sans-serif"/>
          <w:b/>
          <w:color w:val="000000"/>
          <w:sz w:val="20"/>
          <w:u w:val="single"/>
        </w:rPr>
        <w:t>EXHIBIT C</w:t>
      </w:r>
    </w:p>
    <w:p>
      <w:pPr>
        <w:pStyle w:val="TextBody"/>
        <w:bidi w:val="0"/>
        <w:spacing w:lineRule="auto" w:line="288" w:before="0" w:after="120"/>
        <w:jc w:val="center"/>
        <w:rPr>
          <w:rFonts w:ascii="Adelle Sans;sans-serif" w:hAnsi="Adelle Sans;sans-serif"/>
          <w:b w:val="false"/>
          <w:color w:val="000000"/>
          <w:sz w:val="20"/>
        </w:rPr>
      </w:pPr>
      <w:r>
        <w:rPr>
          <w:rFonts w:ascii="Adelle Sans;sans-serif" w:hAnsi="Adelle Sans;sans-serif"/>
          <w:b w:val="false"/>
          <w:color w:val="000000"/>
          <w:sz w:val="20"/>
        </w:rPr>
        <w:t xml:space="preserve">TEXAS CHARTER </w:t>
      </w:r>
    </w:p>
    <w:p>
      <w:pPr>
        <w:pStyle w:val="TextBody"/>
        <w:bidi w:val="0"/>
        <w:spacing w:lineRule="auto" w:line="288" w:before="0" w:after="120"/>
        <w:jc w:val="center"/>
        <w:rPr>
          <w:rFonts w:ascii="Adelle Sans;sans-serif" w:hAnsi="Adelle Sans;sans-serif"/>
          <w:b w:val="false"/>
          <w:color w:val="000000"/>
          <w:sz w:val="20"/>
        </w:rPr>
      </w:pPr>
      <w:r>
        <w:rPr>
          <w:rFonts w:ascii="Adelle Sans;sans-serif" w:hAnsi="Adelle Sans;sans-serif"/>
          <w:b w:val="false"/>
          <w:color w:val="000000"/>
          <w:sz w:val="20"/>
        </w:rPr>
        <w:t>[Attached hereto]</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Adelle Sans;sans-serif" w:hAnsi="Adelle Sans;sans-serif"/>
          <w:b/>
          <w:color w:val="000000"/>
          <w:sz w:val="20"/>
          <w:u w:val="single"/>
        </w:rPr>
      </w:pPr>
      <w:r>
        <w:rPr>
          <w:rFonts w:ascii="Adelle Sans;sans-serif" w:hAnsi="Adelle Sans;sans-serif"/>
          <w:b/>
          <w:color w:val="000000"/>
          <w:sz w:val="20"/>
          <w:u w:val="single"/>
        </w:rPr>
        <w:t>EXHIBIT D</w:t>
      </w:r>
    </w:p>
    <w:p>
      <w:pPr>
        <w:pStyle w:val="TextBody"/>
        <w:bidi w:val="0"/>
        <w:spacing w:lineRule="auto" w:line="288" w:before="0" w:after="120"/>
        <w:jc w:val="center"/>
        <w:rPr>
          <w:rFonts w:ascii="Adelle Sans;sans-serif" w:hAnsi="Adelle Sans;sans-serif"/>
          <w:b w:val="false"/>
          <w:color w:val="000000"/>
          <w:sz w:val="20"/>
        </w:rPr>
      </w:pPr>
      <w:r>
        <w:rPr>
          <w:rFonts w:ascii="Adelle Sans;sans-serif" w:hAnsi="Adelle Sans;sans-serif"/>
          <w:b w:val="false"/>
          <w:color w:val="000000"/>
          <w:sz w:val="20"/>
        </w:rPr>
        <w:t>TEXAS BYLAWS</w:t>
      </w:r>
    </w:p>
    <w:p>
      <w:pPr>
        <w:pStyle w:val="TextBody"/>
        <w:bidi w:val="0"/>
        <w:spacing w:lineRule="auto" w:line="288" w:before="0" w:after="120"/>
        <w:jc w:val="center"/>
        <w:rPr>
          <w:rFonts w:ascii="Adelle Sans;sans-serif" w:hAnsi="Adelle Sans;sans-serif"/>
          <w:b w:val="false"/>
          <w:color w:val="000000"/>
          <w:sz w:val="20"/>
        </w:rPr>
      </w:pPr>
      <w:r>
        <w:rPr>
          <w:rFonts w:ascii="Adelle Sans;sans-serif" w:hAnsi="Adelle Sans;sans-serif"/>
          <w:b w:val="false"/>
          <w:color w:val="000000"/>
          <w:sz w:val="20"/>
        </w:rPr>
        <w:t>[Attached hereto]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 xml:space="preserve">CERTIFICATE OF FORMATION OF </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NATURAL GAS SERVICES GROUP, INC.</w:t>
      </w:r>
    </w:p>
    <w:p>
      <w:pPr>
        <w:pStyle w:val="TextBody"/>
        <w:bidi w:val="0"/>
        <w:spacing w:lineRule="auto" w:line="288" w:before="0" w:after="120"/>
        <w:ind w:left="0" w:right="0" w:firstLine="1080"/>
        <w:jc w:val="both"/>
        <w:rPr/>
      </w:pPr>
      <w:r>
        <w:rPr>
          <w:rFonts w:ascii="Adelle Sans;sans-serif" w:hAnsi="Adelle Sans;sans-serif"/>
          <w:b w:val="false"/>
          <w:color w:val="000000"/>
          <w:sz w:val="20"/>
        </w:rPr>
        <w:t>Natural Gas Services Group, Inc., a corporation organized and existing under the laws of the State of Texas (the “</w:t>
      </w:r>
      <w:r>
        <w:rPr>
          <w:rFonts w:ascii="Adelle Sans;sans-serif" w:hAnsi="Adelle Sans;sans-serif"/>
          <w:b/>
          <w:color w:val="000000"/>
          <w:sz w:val="20"/>
        </w:rPr>
        <w:t>Company</w:t>
      </w:r>
      <w:r>
        <w:rPr>
          <w:color w:val="000000"/>
        </w:rPr>
        <w:t>”</w:t>
      </w:r>
      <w:r>
        <w:rPr>
          <w:rFonts w:ascii="Adelle Sans;sans-serif" w:hAnsi="Adelle Sans;sans-serif"/>
          <w:b w:val="false"/>
          <w:color w:val="000000"/>
          <w:sz w:val="20"/>
        </w:rPr>
        <w:t>), hereby certifies as follows:</w:t>
      </w:r>
    </w:p>
    <w:p>
      <w:pPr>
        <w:pStyle w:val="TextBody"/>
        <w:bidi w:val="0"/>
        <w:spacing w:lineRule="auto" w:line="288" w:before="0" w:after="120"/>
        <w:ind w:left="0" w:right="0" w:hanging="360"/>
        <w:jc w:val="both"/>
        <w:rPr/>
      </w:pPr>
      <w:r>
        <w:rPr>
          <w:rFonts w:ascii="Adelle Sans;sans-serif" w:hAnsi="Adelle Sans;sans-serif"/>
          <w:b w:val="false"/>
          <w:color w:val="000000"/>
          <w:sz w:val="20"/>
        </w:rPr>
        <w:t>1.Natural Gas Services Group, Inc., a Colorado corporation (the “</w:t>
      </w:r>
      <w:r>
        <w:rPr>
          <w:rFonts w:ascii="Adelle Sans;sans-serif" w:hAnsi="Adelle Sans;sans-serif"/>
          <w:b/>
          <w:color w:val="000000"/>
          <w:sz w:val="20"/>
        </w:rPr>
        <w:t>Colorado Corporation</w:t>
      </w:r>
      <w:r>
        <w:rPr>
          <w:color w:val="000000"/>
        </w:rPr>
        <w:t>”</w:t>
      </w:r>
      <w:r>
        <w:rPr>
          <w:rFonts w:ascii="Adelle Sans;sans-serif" w:hAnsi="Adelle Sans;sans-serif"/>
          <w:b w:val="false"/>
          <w:color w:val="000000"/>
          <w:sz w:val="20"/>
        </w:rPr>
        <w:t>), with its registered office in the State of Colorado at 1675 Broadway, 28th Floor, Denver, CO 80202, US, was originally incorporated on December 17, 1998.</w:t>
      </w:r>
    </w:p>
    <w:p>
      <w:pPr>
        <w:pStyle w:val="TextBody"/>
        <w:bidi w:val="0"/>
        <w:spacing w:lineRule="auto" w:line="288" w:before="0" w:after="12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2.The Colorado Corporation was converted into a corporation incorporated under the laws of the State of Texas under the name “Natural Gas Services Group, Inc.” on July 20, 2026 pursuant to a plan of conversion, under which the Colorado Corporation converted to the Company.</w:t>
      </w:r>
    </w:p>
    <w:p>
      <w:pPr>
        <w:pStyle w:val="TextBody"/>
        <w:bidi w:val="0"/>
        <w:spacing w:lineRule="auto" w:line="288" w:before="0" w:after="120"/>
        <w:ind w:left="0" w:right="0" w:firstLine="2853"/>
        <w:jc w:val="center"/>
        <w:rPr>
          <w:rFonts w:ascii="Adelle Sans;sans-serif" w:hAnsi="Adelle Sans;sans-serif"/>
          <w:b/>
          <w:color w:val="000000"/>
          <w:sz w:val="20"/>
        </w:rPr>
      </w:pPr>
      <w:r>
        <w:rPr>
          <w:rFonts w:ascii="Adelle Sans;sans-serif" w:hAnsi="Adelle Sans;sans-serif"/>
          <w:b/>
          <w:color w:val="000000"/>
          <w:sz w:val="20"/>
        </w:rPr>
        <w:t>ARTICLE I</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The name of the Company is Natural Gas Services Group, Inc. The Company is a for-profit corporation.</w:t>
      </w:r>
    </w:p>
    <w:p>
      <w:pPr>
        <w:pStyle w:val="TextBody"/>
        <w:bidi w:val="0"/>
        <w:spacing w:lineRule="auto" w:line="288" w:before="0" w:after="120"/>
        <w:ind w:left="0" w:right="0" w:firstLine="2937"/>
        <w:jc w:val="center"/>
        <w:rPr>
          <w:rFonts w:ascii="Adelle Sans;sans-serif" w:hAnsi="Adelle Sans;sans-serif"/>
          <w:b/>
          <w:color w:val="000000"/>
          <w:sz w:val="20"/>
        </w:rPr>
      </w:pPr>
      <w:r>
        <w:rPr>
          <w:rFonts w:ascii="Adelle Sans;sans-serif" w:hAnsi="Adelle Sans;sans-serif"/>
          <w:b/>
          <w:color w:val="000000"/>
          <w:sz w:val="20"/>
        </w:rPr>
        <w:t>ARTICLE II</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 xml:space="preserve">The address of the Company’s initial registered office in the State of Texas is 211 East 7th Street, Suite 620, Austin, Texas 78701. The name of its initial registered agent at such address is Corporation Service Company (d/b/a CSC-Lawyers Incorporating Service Company). The initial mailing address of the Company is 601 State Street,Suite 400, Southlake, Texas 76092. </w:t>
      </w:r>
    </w:p>
    <w:p>
      <w:pPr>
        <w:pStyle w:val="TextBody"/>
        <w:bidi w:val="0"/>
        <w:spacing w:lineRule="auto" w:line="288" w:before="0" w:after="120"/>
        <w:ind w:left="0" w:right="0" w:firstLine="2967"/>
        <w:jc w:val="center"/>
        <w:rPr>
          <w:rFonts w:ascii="Adelle Sans;sans-serif" w:hAnsi="Adelle Sans;sans-serif"/>
          <w:b/>
          <w:color w:val="000000"/>
          <w:sz w:val="20"/>
        </w:rPr>
      </w:pPr>
      <w:r>
        <w:rPr>
          <w:rFonts w:ascii="Adelle Sans;sans-serif" w:hAnsi="Adelle Sans;sans-serif"/>
          <w:b/>
          <w:color w:val="000000"/>
          <w:sz w:val="20"/>
        </w:rPr>
        <w:t>ARTICLE III</w:t>
      </w:r>
    </w:p>
    <w:p>
      <w:pPr>
        <w:pStyle w:val="TextBody"/>
        <w:bidi w:val="0"/>
        <w:spacing w:lineRule="auto" w:line="288" w:before="0" w:after="120"/>
        <w:ind w:left="0" w:right="0" w:firstLine="720"/>
        <w:jc w:val="both"/>
        <w:rPr/>
      </w:pPr>
      <w:r>
        <w:rPr>
          <w:rFonts w:ascii="Adelle Sans;sans-serif" w:hAnsi="Adelle Sans;sans-serif"/>
          <w:b w:val="false"/>
          <w:color w:val="000000"/>
          <w:sz w:val="20"/>
        </w:rPr>
        <w:t>The purpose of the Company is to engage in any lawful act or activity for which corporations may be organized under the Texas Business Organizations Code (“</w:t>
      </w:r>
      <w:r>
        <w:rPr>
          <w:rFonts w:ascii="Adelle Sans;sans-serif" w:hAnsi="Adelle Sans;sans-serif"/>
          <w:b/>
          <w:color w:val="000000"/>
          <w:sz w:val="20"/>
        </w:rPr>
        <w:t>TBOC</w:t>
      </w:r>
      <w:r>
        <w:rPr>
          <w:color w:val="000000"/>
        </w:rPr>
        <w:t>”</w:t>
      </w:r>
      <w:r>
        <w:rPr>
          <w:rFonts w:ascii="Adelle Sans;sans-serif" w:hAnsi="Adelle Sans;sans-serif"/>
          <w:b w:val="false"/>
          <w:color w:val="000000"/>
          <w:sz w:val="20"/>
        </w:rPr>
        <w:t>), as the same exists or as may hereafter be amended from time to time.</w:t>
      </w:r>
    </w:p>
    <w:p>
      <w:pPr>
        <w:pStyle w:val="TextBody"/>
        <w:bidi w:val="0"/>
        <w:spacing w:lineRule="auto" w:line="288" w:before="0" w:after="120"/>
        <w:ind w:left="0" w:right="0" w:firstLine="2950"/>
        <w:jc w:val="center"/>
        <w:rPr>
          <w:rFonts w:ascii="Adelle Sans;sans-serif" w:hAnsi="Adelle Sans;sans-serif"/>
          <w:b/>
          <w:color w:val="000000"/>
          <w:sz w:val="20"/>
        </w:rPr>
      </w:pPr>
      <w:r>
        <w:rPr>
          <w:rFonts w:ascii="Adelle Sans;sans-serif" w:hAnsi="Adelle Sans;sans-serif"/>
          <w:b/>
          <w:color w:val="000000"/>
          <w:sz w:val="20"/>
        </w:rPr>
        <w:t>ARTICLE IV</w:t>
      </w:r>
    </w:p>
    <w:p>
      <w:pPr>
        <w:pStyle w:val="TextBody"/>
        <w:bidi w:val="0"/>
        <w:spacing w:lineRule="auto" w:line="288" w:before="0" w:after="120"/>
        <w:ind w:left="0" w:right="0" w:firstLine="720"/>
        <w:jc w:val="both"/>
        <w:rPr/>
      </w:pPr>
      <w:r>
        <w:rPr>
          <w:rFonts w:ascii="Adelle Sans;sans-serif" w:hAnsi="Adelle Sans;sans-serif"/>
          <w:b w:val="false"/>
          <w:color w:val="000000"/>
          <w:sz w:val="20"/>
        </w:rPr>
        <w:t>The total number of shares of capital stock the Company has authority to issue is (i) 30,000,000 shares of Common Stock, par value $0.01 per share (“</w:t>
      </w:r>
      <w:r>
        <w:rPr>
          <w:rFonts w:ascii="Adelle Sans;sans-serif" w:hAnsi="Adelle Sans;sans-serif"/>
          <w:b/>
          <w:color w:val="000000"/>
          <w:sz w:val="20"/>
        </w:rPr>
        <w:t>Common Stock</w:t>
      </w:r>
      <w:r>
        <w:rPr>
          <w:color w:val="000000"/>
        </w:rPr>
        <w:t>”</w:t>
      </w:r>
      <w:r>
        <w:rPr>
          <w:rFonts w:ascii="Adelle Sans;sans-serif" w:hAnsi="Adelle Sans;sans-serif"/>
          <w:b w:val="false"/>
          <w:color w:val="000000"/>
          <w:sz w:val="20"/>
        </w:rPr>
        <w:t>) and (ii) 5,000,000 shares of Preferred Stock, par value $0.01 per share (“</w:t>
      </w:r>
      <w:r>
        <w:rPr>
          <w:rFonts w:ascii="Adelle Sans;sans-serif" w:hAnsi="Adelle Sans;sans-serif"/>
          <w:b/>
          <w:color w:val="000000"/>
          <w:sz w:val="20"/>
        </w:rPr>
        <w:t>Preferred Stock</w:t>
      </w:r>
      <w:r>
        <w:rPr>
          <w:color w:val="000000"/>
        </w:rPr>
        <w:t>”</w:t>
      </w:r>
      <w:r>
        <w:rPr>
          <w:rFonts w:ascii="Adelle Sans;sans-serif" w:hAnsi="Adelle Sans;sans-serif"/>
          <w:b w:val="false"/>
          <w:color w:val="000000"/>
          <w:sz w:val="20"/>
        </w:rPr>
        <w:t>).</w:t>
      </w:r>
    </w:p>
    <w:p>
      <w:pPr>
        <w:pStyle w:val="TextBody"/>
        <w:bidi w:val="0"/>
        <w:spacing w:lineRule="auto" w:line="288" w:before="0" w:after="120"/>
        <w:ind w:left="0" w:right="0" w:firstLine="2936"/>
        <w:jc w:val="center"/>
        <w:rPr>
          <w:rFonts w:ascii="Adelle Sans;sans-serif" w:hAnsi="Adelle Sans;sans-serif"/>
          <w:b/>
          <w:color w:val="000000"/>
          <w:sz w:val="20"/>
        </w:rPr>
      </w:pPr>
      <w:r>
        <w:rPr>
          <w:rFonts w:ascii="Adelle Sans;sans-serif" w:hAnsi="Adelle Sans;sans-serif"/>
          <w:b/>
          <w:color w:val="000000"/>
          <w:sz w:val="20"/>
        </w:rPr>
        <w:t>ARTICLE V</w:t>
      </w:r>
    </w:p>
    <w:p>
      <w:pPr>
        <w:pStyle w:val="TextBody"/>
        <w:bidi w:val="0"/>
        <w:spacing w:lineRule="auto" w:line="288" w:before="0" w:after="120"/>
        <w:ind w:left="0" w:right="0" w:hanging="360"/>
        <w:jc w:val="both"/>
        <w:rPr>
          <w:rFonts w:ascii="Adelle Sans;sans-serif" w:hAnsi="Adelle Sans;sans-serif"/>
          <w:b/>
          <w:color w:val="000000"/>
          <w:sz w:val="20"/>
        </w:rPr>
      </w:pPr>
      <w:r>
        <w:rPr>
          <w:rFonts w:ascii="Adelle Sans;sans-serif" w:hAnsi="Adelle Sans;sans-serif"/>
          <w:b/>
          <w:color w:val="000000"/>
          <w:sz w:val="20"/>
        </w:rPr>
        <w:t>A.COMMON STOCK</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The terms and provisions of the Common Stock are as follows:</w:t>
      </w:r>
    </w:p>
    <w:p>
      <w:pPr>
        <w:pStyle w:val="TextBody"/>
        <w:bidi w:val="0"/>
        <w:spacing w:lineRule="auto" w:line="288" w:before="0" w:after="120"/>
        <w:jc w:val="both"/>
        <w:rPr/>
      </w:pPr>
      <w:r>
        <w:rPr>
          <w:rFonts w:ascii="Adelle Sans;sans-serif" w:hAnsi="Adelle Sans;sans-serif"/>
          <w:b/>
          <w:color w:val="000000"/>
          <w:sz w:val="20"/>
        </w:rPr>
        <w:t>1.    Definitions</w:t>
      </w:r>
      <w:r>
        <w:rPr>
          <w:rFonts w:ascii="Adelle Sans;sans-serif" w:hAnsi="Adelle Sans;sans-serif"/>
          <w:b w:val="false"/>
          <w:color w:val="000000"/>
          <w:sz w:val="20"/>
        </w:rPr>
        <w:t>. For purposes of the Certificate of Formation, the following definitions shall</w:t>
      </w:r>
    </w:p>
    <w:p>
      <w:pPr>
        <w:pStyle w:val="TextBody"/>
        <w:bidi w:val="0"/>
        <w:spacing w:lineRule="auto" w:line="288" w:before="0" w:after="120"/>
        <w:ind w:left="0" w:right="0" w:firstLine="360"/>
        <w:jc w:val="both"/>
        <w:rPr>
          <w:rFonts w:ascii="Adelle Sans;sans-serif" w:hAnsi="Adelle Sans;sans-serif"/>
          <w:b w:val="false"/>
          <w:color w:val="000000"/>
          <w:sz w:val="20"/>
        </w:rPr>
      </w:pPr>
      <w:r>
        <w:rPr>
          <w:rFonts w:ascii="Adelle Sans;sans-serif" w:hAnsi="Adelle Sans;sans-serif"/>
          <w:b w:val="false"/>
          <w:color w:val="000000"/>
          <w:sz w:val="20"/>
        </w:rPr>
        <w:t>apply:</w:t>
      </w:r>
    </w:p>
    <w:p>
      <w:pPr>
        <w:pStyle w:val="TextBody"/>
        <w:bidi w:val="0"/>
        <w:spacing w:lineRule="auto" w:line="288" w:before="0" w:after="120"/>
        <w:ind w:left="0" w:right="0" w:firstLine="1440"/>
        <w:jc w:val="both"/>
        <w:rPr/>
      </w:pPr>
      <w:r>
        <w:rPr>
          <w:rFonts w:ascii="Adelle Sans;sans-serif" w:hAnsi="Adelle Sans;sans-serif"/>
          <w:b w:val="false"/>
          <w:color w:val="000000"/>
          <w:sz w:val="20"/>
        </w:rPr>
        <w:t>(a)    “</w:t>
      </w:r>
      <w:r>
        <w:rPr>
          <w:rFonts w:ascii="Adelle Sans;sans-serif" w:hAnsi="Adelle Sans;sans-serif"/>
          <w:b/>
          <w:color w:val="000000"/>
          <w:sz w:val="20"/>
        </w:rPr>
        <w:t>Board of Directors</w:t>
      </w:r>
      <w:r>
        <w:rPr>
          <w:color w:val="000000"/>
        </w:rPr>
        <w:t xml:space="preserve">” </w:t>
      </w:r>
      <w:r>
        <w:rPr>
          <w:rFonts w:ascii="Adelle Sans;sans-serif" w:hAnsi="Adelle Sans;sans-serif"/>
          <w:b w:val="false"/>
          <w:color w:val="000000"/>
          <w:sz w:val="20"/>
        </w:rPr>
        <w:t>shall mean the board of directors of the Company.</w:t>
      </w:r>
    </w:p>
    <w:p>
      <w:pPr>
        <w:pStyle w:val="TextBody"/>
        <w:bidi w:val="0"/>
        <w:spacing w:lineRule="auto" w:line="288" w:before="0" w:after="120"/>
        <w:ind w:left="0" w:right="0" w:firstLine="1440"/>
        <w:jc w:val="both"/>
        <w:rPr/>
      </w:pPr>
      <w:r>
        <w:rPr>
          <w:rFonts w:ascii="Adelle Sans;sans-serif" w:hAnsi="Adelle Sans;sans-serif"/>
          <w:b w:val="false"/>
          <w:color w:val="000000"/>
          <w:sz w:val="20"/>
        </w:rPr>
        <w:t>(b)    “</w:t>
      </w:r>
      <w:r>
        <w:rPr>
          <w:rFonts w:ascii="Adelle Sans;sans-serif" w:hAnsi="Adelle Sans;sans-serif"/>
          <w:b/>
          <w:color w:val="000000"/>
          <w:sz w:val="20"/>
        </w:rPr>
        <w:t>Certificate of Formation</w:t>
      </w:r>
      <w:r>
        <w:rPr>
          <w:color w:val="000000"/>
        </w:rPr>
        <w:t xml:space="preserve">” </w:t>
      </w:r>
      <w:r>
        <w:rPr>
          <w:rFonts w:ascii="Adelle Sans;sans-serif" w:hAnsi="Adelle Sans;sans-serif"/>
          <w:b w:val="false"/>
          <w:color w:val="000000"/>
          <w:sz w:val="20"/>
        </w:rPr>
        <w:t>shall mean the certificate of formation of the Company, as the same may be amended or supplemented from time to time.</w:t>
      </w:r>
    </w:p>
    <w:p>
      <w:pPr>
        <w:pStyle w:val="TextBody"/>
        <w:bidi w:val="0"/>
        <w:spacing w:lineRule="auto" w:line="288" w:before="0" w:after="120"/>
        <w:ind w:left="0" w:right="0" w:firstLine="1440"/>
        <w:jc w:val="both"/>
        <w:rPr/>
      </w:pPr>
      <w:r>
        <w:rPr>
          <w:rFonts w:ascii="Adelle Sans;sans-serif" w:hAnsi="Adelle Sans;sans-serif"/>
          <w:b w:val="false"/>
          <w:color w:val="000000"/>
          <w:sz w:val="20"/>
        </w:rPr>
        <w:t>(c)</w:t>
      </w:r>
      <w:r>
        <w:rPr>
          <w:color w:val="000000"/>
        </w:rPr>
        <w:t>    </w:t>
      </w:r>
      <w:r>
        <w:rPr>
          <w:rFonts w:ascii="Adelle Sans;sans-serif" w:hAnsi="Adelle Sans;sans-serif"/>
          <w:b/>
          <w:color w:val="000000"/>
          <w:sz w:val="20"/>
        </w:rPr>
        <w:t>Bylaws</w:t>
      </w:r>
      <w:r>
        <w:rPr>
          <w:color w:val="000000"/>
        </w:rPr>
        <w:t xml:space="preserve">” </w:t>
      </w:r>
      <w:r>
        <w:rPr>
          <w:rFonts w:ascii="Adelle Sans;sans-serif" w:hAnsi="Adelle Sans;sans-serif"/>
          <w:b w:val="false"/>
          <w:color w:val="000000"/>
          <w:sz w:val="20"/>
        </w:rPr>
        <w:t>shall mean the bylaws of the Company as the same may be amended or supplemented from time to time.</w:t>
      </w:r>
    </w:p>
    <w:p>
      <w:pPr>
        <w:pStyle w:val="TextBody"/>
        <w:bidi w:val="0"/>
        <w:spacing w:lineRule="auto" w:line="288" w:before="0" w:after="120"/>
        <w:jc w:val="left"/>
        <w:rPr>
          <w:rFonts w:ascii="Adelle Sans;sans-serif" w:hAnsi="Adelle Sans;sans-serif"/>
          <w:b/>
          <w:color w:val="000000"/>
          <w:sz w:val="20"/>
        </w:rPr>
      </w:pPr>
      <w:r>
        <w:rPr>
          <w:rFonts w:ascii="Adelle Sans;sans-serif" w:hAnsi="Adelle Sans;sans-serif"/>
          <w:b/>
          <w:color w:val="000000"/>
          <w:sz w:val="20"/>
        </w:rPr>
        <w:t>2.    Voting.</w:t>
      </w:r>
    </w:p>
    <w:p>
      <w:pPr>
        <w:pStyle w:val="TextBody"/>
        <w:bidi w:val="0"/>
        <w:spacing w:lineRule="auto" w:line="288" w:before="0" w:after="120"/>
        <w:ind w:left="0" w:right="0" w:firstLine="1440"/>
        <w:jc w:val="both"/>
        <w:rPr/>
      </w:pPr>
      <w:r>
        <w:rPr>
          <w:rFonts w:ascii="Adelle Sans;sans-serif" w:hAnsi="Adelle Sans;sans-serif"/>
          <w:b w:val="false"/>
          <w:color w:val="000000"/>
          <w:sz w:val="20"/>
        </w:rPr>
        <w:t>(a)</w:t>
      </w:r>
      <w:r>
        <w:rPr>
          <w:color w:val="000000"/>
        </w:rPr>
        <w:t>    </w:t>
      </w:r>
      <w:r>
        <w:rPr>
          <w:rFonts w:ascii="Adelle Sans;sans-serif" w:hAnsi="Adelle Sans;sans-serif"/>
          <w:b w:val="false"/>
          <w:i/>
          <w:color w:val="000000"/>
          <w:sz w:val="20"/>
        </w:rPr>
        <w:t xml:space="preserve">Voting Powers. </w:t>
      </w:r>
      <w:r>
        <w:rPr>
          <w:rFonts w:ascii="Adelle Sans;sans-serif" w:hAnsi="Adelle Sans;sans-serif"/>
          <w:b w:val="false"/>
          <w:color w:val="000000"/>
          <w:sz w:val="20"/>
        </w:rPr>
        <w:t xml:space="preserve">Each holder of shares of Common Stock shall be entitled to one (1) vote for each share thereof held as of the applicable record date. </w:t>
      </w:r>
    </w:p>
    <w:p>
      <w:pPr>
        <w:pStyle w:val="TextBody"/>
        <w:bidi w:val="0"/>
        <w:spacing w:lineRule="auto" w:line="288" w:before="0" w:after="120"/>
        <w:ind w:left="0" w:right="0" w:firstLine="1440"/>
        <w:jc w:val="both"/>
        <w:rPr/>
      </w:pPr>
      <w:r>
        <w:rPr>
          <w:rFonts w:ascii="Adelle Sans;sans-serif" w:hAnsi="Adelle Sans;sans-serif"/>
          <w:b w:val="false"/>
          <w:color w:val="000000"/>
          <w:sz w:val="20"/>
        </w:rPr>
        <w:t>(b)</w:t>
      </w:r>
      <w:r>
        <w:rPr>
          <w:color w:val="000000"/>
        </w:rPr>
        <w:t>    </w:t>
      </w:r>
      <w:r>
        <w:rPr>
          <w:rFonts w:ascii="Adelle Sans;sans-serif" w:hAnsi="Adelle Sans;sans-serif"/>
          <w:b w:val="false"/>
          <w:i/>
          <w:color w:val="000000"/>
          <w:sz w:val="20"/>
        </w:rPr>
        <w:t>Vote for a Fundamental Business Transaction</w:t>
      </w:r>
      <w:r>
        <w:rPr>
          <w:rFonts w:ascii="Adelle Sans;sans-serif" w:hAnsi="Adelle Sans;sans-serif"/>
          <w:b w:val="false"/>
          <w:color w:val="000000"/>
          <w:sz w:val="20"/>
        </w:rPr>
        <w:t>. The affirmative vote of the holders of a majority of the total voting power represented by the outstanding capital stock of the Company entitled to vote thereon, and without a separate class vote by the Common Stock or Preferred Stock, except as may be required by the TBOC, shall be sufficient to approve, authorize, adopt, or to otherwise cause the Company to take, or affirm the Company’s taking of any “fundamental business transaction” as defined under the TBOC.</w:t>
      </w:r>
    </w:p>
    <w:p>
      <w:pPr>
        <w:pStyle w:val="TextBody"/>
        <w:bidi w:val="0"/>
        <w:spacing w:lineRule="auto" w:line="288" w:before="0" w:after="120"/>
        <w:ind w:left="0" w:right="0" w:firstLine="1440"/>
        <w:jc w:val="both"/>
        <w:rPr/>
      </w:pPr>
      <w:r>
        <w:rPr>
          <w:rFonts w:ascii="Adelle Sans;sans-serif" w:hAnsi="Adelle Sans;sans-serif"/>
          <w:b w:val="false"/>
          <w:color w:val="000000"/>
          <w:sz w:val="20"/>
        </w:rPr>
        <w:t>(c)</w:t>
      </w:r>
      <w:r>
        <w:rPr>
          <w:color w:val="000000"/>
        </w:rPr>
        <w:t>    </w:t>
      </w:r>
      <w:r>
        <w:rPr>
          <w:rFonts w:ascii="Adelle Sans;sans-serif" w:hAnsi="Adelle Sans;sans-serif"/>
          <w:b w:val="false"/>
          <w:i/>
          <w:color w:val="000000"/>
          <w:sz w:val="20"/>
        </w:rPr>
        <w:t xml:space="preserve">Adjustment in Authorized Common Stock or Preferred Stock. </w:t>
      </w:r>
      <w:r>
        <w:rPr>
          <w:rFonts w:ascii="Adelle Sans;sans-serif" w:hAnsi="Adelle Sans;sans-serif"/>
          <w:b w:val="false"/>
          <w:color w:val="000000"/>
          <w:sz w:val="20"/>
        </w:rPr>
        <w:t xml:space="preserve">Except as otherwise may be expressly provided by the terms of any series of Preferred Stock, the number of authorized shares of Common Stock or Preferred Stock may be increased or decreased (but not below the number of shares of Common Stock or Preferred Stock then outstanding, as applicable) by an affirmative vote of the holders of a majority of the total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voting power represented by the outstanding capital stock of the Company entitled to vote thereon, and without a separate class vote by the Common Stock or Preferred Stock, except as may be required by the TBOC.</w:t>
      </w:r>
    </w:p>
    <w:p>
      <w:pPr>
        <w:pStyle w:val="TextBody"/>
        <w:bidi w:val="0"/>
        <w:spacing w:lineRule="auto" w:line="288" w:before="0" w:after="60"/>
        <w:jc w:val="both"/>
        <w:rPr>
          <w:rFonts w:ascii="Adelle Sans;sans-serif" w:hAnsi="Adelle Sans;sans-serif"/>
          <w:b/>
          <w:color w:val="000000"/>
          <w:sz w:val="20"/>
        </w:rPr>
      </w:pPr>
      <w:r>
        <w:rPr>
          <w:rFonts w:ascii="Adelle Sans;sans-serif" w:hAnsi="Adelle Sans;sans-serif"/>
          <w:b/>
          <w:color w:val="000000"/>
          <w:sz w:val="20"/>
        </w:rPr>
        <w:t>3.     Additional Rights.</w:t>
      </w:r>
    </w:p>
    <w:p>
      <w:pPr>
        <w:pStyle w:val="TextBody"/>
        <w:bidi w:val="0"/>
        <w:spacing w:lineRule="auto" w:line="288" w:before="0" w:after="120"/>
        <w:ind w:left="0" w:right="0" w:firstLine="1440"/>
        <w:jc w:val="both"/>
        <w:rPr/>
      </w:pPr>
      <w:r>
        <w:rPr>
          <w:rFonts w:ascii="Adelle Sans;sans-serif" w:hAnsi="Adelle Sans;sans-serif"/>
          <w:b w:val="false"/>
          <w:color w:val="000000"/>
          <w:sz w:val="20"/>
        </w:rPr>
        <w:t>(a)</w:t>
      </w:r>
      <w:r>
        <w:rPr>
          <w:color w:val="000000"/>
        </w:rPr>
        <w:t xml:space="preserve">     </w:t>
      </w:r>
      <w:r>
        <w:rPr>
          <w:rFonts w:ascii="Adelle Sans;sans-serif" w:hAnsi="Adelle Sans;sans-serif"/>
          <w:b w:val="false"/>
          <w:i/>
          <w:color w:val="000000"/>
          <w:sz w:val="20"/>
        </w:rPr>
        <w:t>Dividends and Distributions</w:t>
      </w:r>
      <w:r>
        <w:rPr>
          <w:rFonts w:ascii="Adelle Sans;sans-serif" w:hAnsi="Adelle Sans;sans-serif"/>
          <w:b w:val="false"/>
          <w:color w:val="000000"/>
          <w:sz w:val="20"/>
        </w:rPr>
        <w:t>. The holders of shares of Common Stock shall be entitled to receive such dividends and other distributions (payable in cash, property, or capital stock of the Company) when, as and if declared thereon by the Board of Directors from time to time out of any assets or funds of the Company legally available therefor, and shall share equally on a per share basis in such dividends and distributions</w:t>
      </w:r>
    </w:p>
    <w:p>
      <w:pPr>
        <w:pStyle w:val="TextBody"/>
        <w:bidi w:val="0"/>
        <w:spacing w:lineRule="auto" w:line="288" w:before="0" w:after="120"/>
        <w:ind w:left="0" w:right="0" w:firstLine="1440"/>
        <w:jc w:val="both"/>
        <w:rPr/>
      </w:pPr>
      <w:r>
        <w:rPr>
          <w:rFonts w:ascii="Adelle Sans;sans-serif" w:hAnsi="Adelle Sans;sans-serif"/>
          <w:b w:val="false"/>
          <w:color w:val="000000"/>
          <w:sz w:val="20"/>
        </w:rPr>
        <w:t>(b)</w:t>
      </w:r>
      <w:r>
        <w:rPr>
          <w:color w:val="000000"/>
        </w:rPr>
        <w:t xml:space="preserve">     </w:t>
      </w:r>
      <w:r>
        <w:rPr>
          <w:rFonts w:ascii="Adelle Sans;sans-serif" w:hAnsi="Adelle Sans;sans-serif"/>
          <w:b w:val="false"/>
          <w:i/>
          <w:color w:val="000000"/>
          <w:sz w:val="20"/>
        </w:rPr>
        <w:t>Dissolution, Liquidation or Winding Up</w:t>
      </w:r>
      <w:r>
        <w:rPr>
          <w:rFonts w:ascii="Adelle Sans;sans-serif" w:hAnsi="Adelle Sans;sans-serif"/>
          <w:b w:val="false"/>
          <w:color w:val="000000"/>
          <w:sz w:val="20"/>
        </w:rPr>
        <w:t>. In the event of any voluntary or involuntary liquidation. dissolution, or winding-up of the Company, after payment or provision for payment of the debts and other liabilities of the Company, and the holders of shares of Common Stock shall be entitled to receive all the remaining assets of the Company available for distribution to its shareholders, ratably in proportion to the number of shares of Common Stock held by them.</w:t>
      </w:r>
    </w:p>
    <w:p>
      <w:pPr>
        <w:pStyle w:val="TextBody"/>
        <w:bidi w:val="0"/>
        <w:spacing w:lineRule="auto" w:line="288" w:before="0" w:after="120"/>
        <w:ind w:left="0" w:right="0" w:hanging="360"/>
        <w:jc w:val="both"/>
        <w:rPr>
          <w:rFonts w:ascii="Adelle Sans;sans-serif" w:hAnsi="Adelle Sans;sans-serif"/>
          <w:b/>
          <w:color w:val="000000"/>
          <w:sz w:val="20"/>
        </w:rPr>
      </w:pPr>
      <w:r>
        <w:rPr>
          <w:rFonts w:ascii="Adelle Sans;sans-serif" w:hAnsi="Adelle Sans;sans-serif"/>
          <w:b/>
          <w:color w:val="000000"/>
          <w:sz w:val="20"/>
        </w:rPr>
        <w:t>B.PREFERRED STOCK</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the Certificate of Formation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pStyle w:val="TextBody"/>
        <w:bidi w:val="0"/>
        <w:spacing w:lineRule="auto" w:line="288" w:before="0" w:after="0"/>
        <w:ind w:left="0" w:right="0" w:firstLine="3004"/>
        <w:jc w:val="center"/>
        <w:rPr>
          <w:rFonts w:ascii="Adelle Sans;sans-serif" w:hAnsi="Adelle Sans;sans-serif"/>
          <w:b/>
          <w:color w:val="000000"/>
          <w:sz w:val="20"/>
        </w:rPr>
      </w:pPr>
      <w:r>
        <w:rPr>
          <w:rFonts w:ascii="Adelle Sans;sans-serif" w:hAnsi="Adelle Sans;sans-serif"/>
          <w:b/>
          <w:color w:val="000000"/>
          <w:sz w:val="20"/>
        </w:rPr>
        <w:t>ARTICLE VI</w:t>
      </w:r>
    </w:p>
    <w:p>
      <w:pPr>
        <w:pStyle w:val="TextBody"/>
        <w:bidi w:val="0"/>
        <w:spacing w:lineRule="auto" w:line="288" w:before="0" w:after="120"/>
        <w:ind w:left="0" w:right="0" w:firstLine="720"/>
        <w:jc w:val="both"/>
        <w:rPr/>
      </w:pPr>
      <w:r>
        <w:rPr>
          <w:rFonts w:ascii="Adelle Sans;sans-serif" w:hAnsi="Adelle Sans;sans-serif"/>
          <w:b/>
          <w:color w:val="000000"/>
          <w:sz w:val="20"/>
        </w:rPr>
        <w:t>1.    General Powers</w:t>
      </w:r>
      <w:r>
        <w:rPr>
          <w:rFonts w:ascii="Adelle Sans;sans-serif" w:hAnsi="Adelle Sans;sans-serif"/>
          <w:b w:val="false"/>
          <w:color w:val="000000"/>
          <w:sz w:val="20"/>
        </w:rPr>
        <w:t>. The business and affairs of the Company shall be managed by or under the direction of the Board of Directors. In furtherance and not in limitation of the powers conferred by statute, the Board of Directors is expressly authorized to make, alter, amend or repeal the Bylaws of the Company.</w:t>
      </w:r>
    </w:p>
    <w:p>
      <w:pPr>
        <w:pStyle w:val="TextBody"/>
        <w:bidi w:val="0"/>
        <w:spacing w:lineRule="auto" w:line="288" w:before="0" w:after="120"/>
        <w:jc w:val="both"/>
        <w:rPr/>
      </w:pPr>
      <w:r>
        <w:rPr>
          <w:rFonts w:ascii="Adelle Sans;sans-serif" w:hAnsi="Adelle Sans;sans-serif"/>
          <w:b/>
          <w:color w:val="000000"/>
          <w:sz w:val="20"/>
        </w:rPr>
        <w:t>2.</w:t>
      </w:r>
      <w:r>
        <w:rPr>
          <w:color w:val="000000"/>
        </w:rPr>
        <w:t>    </w:t>
      </w:r>
      <w:r>
        <w:rPr>
          <w:rFonts w:ascii="Adelle Sans;sans-serif" w:hAnsi="Adelle Sans;sans-serif"/>
          <w:b/>
          <w:color w:val="000000"/>
          <w:sz w:val="20"/>
        </w:rPr>
        <w:t>Number of Directors; Initial Directors; Term; Election.</w:t>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 xml:space="preserve">(a)    The number of directors that constitute the whole Board of Directors shall be determined in the manner set forth in the Bylaws. The Board of Directors currently consists of seven directors, and the names and addresses of such directors are: </w:t>
      </w:r>
    </w:p>
    <w:p>
      <w:pPr>
        <w:pStyle w:val="TextBody"/>
        <w:bidi w:val="0"/>
        <w:spacing w:lineRule="auto" w:line="288" w:before="0" w:after="120"/>
        <w:jc w:val="both"/>
        <w:rPr/>
      </w:pPr>
      <w:r>
        <w:rPr>
          <w:rFonts w:ascii="Adelle Sans;sans-serif" w:hAnsi="Adelle Sans;sans-serif"/>
          <w:b w:val="false"/>
          <w:color w:val="000000"/>
          <w:sz w:val="20"/>
          <w:u w:val="single"/>
        </w:rPr>
        <w:t xml:space="preserve">Name </w:t>
      </w:r>
      <w:r>
        <w:rPr>
          <w:color w:val="000000"/>
        </w:rPr>
        <w:t xml:space="preserve">     </w:t>
      </w:r>
      <w:r>
        <w:rPr>
          <w:rFonts w:ascii="Adelle Sans;sans-serif" w:hAnsi="Adelle Sans;sans-serif"/>
          <w:b w:val="false"/>
          <w:color w:val="000000"/>
          <w:sz w:val="20"/>
          <w:u w:val="single"/>
        </w:rPr>
        <w:t xml:space="preserve">Address </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 xml:space="preserve">Don Tringali          601 State Street, Suite 400, Southlake, TX 76092 </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 xml:space="preserve">Georganne Hodges     601 State Street, Suite 400, Southlake, TX 76092 </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 xml:space="preserve">J. Anthony Gallegos, Jr.     601 State Street, Suite 400, Southlake, TX 76092 </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 xml:space="preserve">Jean Holley     601 State Street, Suite 400, Southlake, TX 76092 </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 xml:space="preserve">Justin Jacobs     601 State Street, Suite 400, Southlake, TX 76092 </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 xml:space="preserve">Nigel Jenvey     601 State Street, Suite 400, Southlake, TX 76092 </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 xml:space="preserve">John E. Jackson        601 State Street, Suite 400, Southlake, TX 76092 </w:t>
      </w:r>
    </w:p>
    <w:p>
      <w:pPr>
        <w:pStyle w:val="TextBody"/>
        <w:bidi w:val="0"/>
        <w:spacing w:before="0" w:after="12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 xml:space="preserve">(b)    The directors shall be elected by a majority vote of the shareholders present in person or represented by proxy at the meeting with quorum present and entitled to vote thereon, for one-year terms expiring at the next succeeding annual meeting of shareholders, subject to their earlier death, resignation, or removal. </w:t>
      </w:r>
    </w:p>
    <w:p>
      <w:pPr>
        <w:pStyle w:val="TextBody"/>
        <w:bidi w:val="0"/>
        <w:spacing w:lineRule="auto" w:line="288" w:before="0" w:after="120"/>
        <w:ind w:left="0" w:right="0" w:firstLine="3078"/>
        <w:jc w:val="center"/>
        <w:rPr>
          <w:rFonts w:ascii="Adelle Sans;sans-serif" w:hAnsi="Adelle Sans;sans-serif"/>
          <w:b/>
          <w:color w:val="000000"/>
          <w:sz w:val="20"/>
        </w:rPr>
      </w:pPr>
      <w:r>
        <w:rPr>
          <w:rFonts w:ascii="Adelle Sans;sans-serif" w:hAnsi="Adelle Sans;sans-serif"/>
          <w:b/>
          <w:color w:val="000000"/>
          <w:sz w:val="20"/>
        </w:rPr>
        <w:t>ARTICLE VII</w:t>
      </w:r>
    </w:p>
    <w:p>
      <w:pPr>
        <w:pStyle w:val="TextBody"/>
        <w:bidi w:val="0"/>
        <w:spacing w:lineRule="auto" w:line="288" w:before="0" w:after="120"/>
        <w:ind w:left="0" w:right="0" w:firstLine="720"/>
        <w:jc w:val="both"/>
        <w:rPr/>
      </w:pPr>
      <w:r>
        <w:rPr>
          <w:rFonts w:ascii="Adelle Sans;sans-serif" w:hAnsi="Adelle Sans;sans-serif"/>
          <w:b w:val="false"/>
          <w:color w:val="000000"/>
          <w:sz w:val="20"/>
        </w:rPr>
        <w:t>1.</w:t>
      </w:r>
      <w:r>
        <w:rPr>
          <w:rFonts w:ascii="Adelle Sans;sans-serif" w:hAnsi="Adelle Sans;sans-serif"/>
          <w:b/>
          <w:color w:val="000000"/>
          <w:sz w:val="20"/>
        </w:rPr>
        <w:t>Action by Written Consent of Shareholders</w:t>
      </w:r>
      <w:r>
        <w:rPr>
          <w:rFonts w:ascii="Adelle Sans;sans-serif" w:hAnsi="Adelle Sans;sans-serif"/>
          <w:b w:val="false"/>
          <w:color w:val="000000"/>
          <w:sz w:val="20"/>
        </w:rPr>
        <w:t>. Any action required by the TBOC to be taken at any annual or special meeting of shareholders of the Company, or any action which may be taken at any annual or special meeting of such shareholders, may be taken without a meeting, without prior notice and without a vote, if a consent or consents in writing, setting forth the action so taken, shall be signed by the holders of outstanding stock representing sixty-five percent (65%) of the outstanding capital stock of the Company entitled to vote thereon.</w:t>
      </w:r>
    </w:p>
    <w:p>
      <w:pPr>
        <w:pStyle w:val="TextBody"/>
        <w:bidi w:val="0"/>
        <w:spacing w:lineRule="auto" w:line="288" w:before="0" w:after="120"/>
        <w:ind w:left="0" w:right="0" w:firstLine="720"/>
        <w:jc w:val="both"/>
        <w:rPr/>
      </w:pPr>
      <w:r>
        <w:rPr>
          <w:rFonts w:ascii="Adelle Sans;sans-serif" w:hAnsi="Adelle Sans;sans-serif"/>
          <w:b w:val="false"/>
          <w:color w:val="000000"/>
          <w:sz w:val="20"/>
        </w:rPr>
        <w:t>2.</w:t>
      </w:r>
      <w:r>
        <w:rPr>
          <w:rFonts w:ascii="Adelle Sans;sans-serif" w:hAnsi="Adelle Sans;sans-serif"/>
          <w:b/>
          <w:color w:val="000000"/>
          <w:sz w:val="20"/>
        </w:rPr>
        <w:t>Special Meetings</w:t>
      </w:r>
      <w:r>
        <w:rPr>
          <w:rFonts w:ascii="Adelle Sans;sans-serif" w:hAnsi="Adelle Sans;sans-serif"/>
          <w:b w:val="false"/>
          <w:color w:val="000000"/>
          <w:sz w:val="20"/>
        </w:rPr>
        <w:t>. Except as otherwise may be expressly provided by the terms of any series of Preferred Stock, special meetings of shareholders of the Company may be called only by the Board of Directors, the chairperson of the Board of Directors, the chief executive officer or the president (in the absence of a chief executive officer) or by the holders of not less than twenty percent (20%) of the Company’s then outstanding shares of capital stock entitled to vote at such special meeting.</w:t>
      </w:r>
    </w:p>
    <w:p>
      <w:pPr>
        <w:pStyle w:val="TextBody"/>
        <w:bidi w:val="0"/>
        <w:spacing w:lineRule="auto" w:line="288" w:before="0" w:after="120"/>
        <w:ind w:left="0" w:right="0" w:firstLine="720"/>
        <w:jc w:val="both"/>
        <w:rPr/>
      </w:pPr>
      <w:r>
        <w:rPr>
          <w:rFonts w:ascii="Adelle Sans;sans-serif" w:hAnsi="Adelle Sans;sans-serif"/>
          <w:b w:val="false"/>
          <w:color w:val="000000"/>
          <w:sz w:val="20"/>
        </w:rPr>
        <w:t>3.</w:t>
      </w:r>
      <w:r>
        <w:rPr>
          <w:rFonts w:ascii="Adelle Sans;sans-serif" w:hAnsi="Adelle Sans;sans-serif"/>
          <w:b/>
          <w:color w:val="000000"/>
          <w:sz w:val="20"/>
        </w:rPr>
        <w:t>Advance Notice of Shareholder Business</w:t>
      </w:r>
      <w:r>
        <w:rPr>
          <w:rFonts w:ascii="Adelle Sans;sans-serif" w:hAnsi="Adelle Sans;sans-serif"/>
          <w:b w:val="false"/>
          <w:color w:val="000000"/>
          <w:sz w:val="20"/>
        </w:rPr>
        <w:t>. Advance notice of shareholder nominations for the election of directors and of business to be brought by shareholders before any meeting of the shareholders of the Company shall be given in the manner provided in the Bylaws.</w:t>
      </w:r>
    </w:p>
    <w:p>
      <w:pPr>
        <w:pStyle w:val="TextBody"/>
        <w:bidi w:val="0"/>
        <w:spacing w:lineRule="auto" w:line="288" w:before="0" w:after="120"/>
        <w:ind w:left="0" w:right="0" w:firstLine="720"/>
        <w:jc w:val="both"/>
        <w:rPr/>
      </w:pPr>
      <w:r>
        <w:rPr>
          <w:rFonts w:ascii="Adelle Sans;sans-serif" w:hAnsi="Adelle Sans;sans-serif"/>
          <w:b w:val="false"/>
          <w:color w:val="000000"/>
          <w:sz w:val="20"/>
        </w:rPr>
        <w:t>4.</w:t>
      </w:r>
      <w:r>
        <w:rPr>
          <w:rFonts w:ascii="Adelle Sans;sans-serif" w:hAnsi="Adelle Sans;sans-serif"/>
          <w:b/>
          <w:color w:val="000000"/>
          <w:sz w:val="20"/>
        </w:rPr>
        <w:t>No Cumulative Voting</w:t>
      </w:r>
      <w:r>
        <w:rPr>
          <w:rFonts w:ascii="Adelle Sans;sans-serif" w:hAnsi="Adelle Sans;sans-serif"/>
          <w:b w:val="false"/>
          <w:color w:val="000000"/>
          <w:sz w:val="20"/>
        </w:rPr>
        <w:t>. No shareholder will be permitted to cumulate votes at any election of directors.</w:t>
      </w:r>
    </w:p>
    <w:p>
      <w:pPr>
        <w:pStyle w:val="TextBody"/>
        <w:bidi w:val="0"/>
        <w:spacing w:lineRule="auto" w:line="288" w:before="0" w:after="120"/>
        <w:ind w:left="0" w:right="0" w:firstLine="3163"/>
        <w:jc w:val="center"/>
        <w:rPr>
          <w:rFonts w:ascii="Adelle Sans;sans-serif" w:hAnsi="Adelle Sans;sans-serif"/>
          <w:b/>
          <w:color w:val="000000"/>
          <w:sz w:val="20"/>
        </w:rPr>
      </w:pPr>
      <w:r>
        <w:rPr>
          <w:rFonts w:ascii="Adelle Sans;sans-serif" w:hAnsi="Adelle Sans;sans-serif"/>
          <w:b/>
          <w:color w:val="000000"/>
          <w:sz w:val="20"/>
        </w:rPr>
        <w:t>ARTICLE VIII</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To the fullest extent permitted by the TBOC, as the same exists or as may hereafter be amended from time to time, no director or officer of the Company shall be personally liable to the Company or its shareholders for monetary damages for breach of fiduciary duty as a director or officer, as applicable. If the TBOC is amended to authorize corporate action further eliminating or limiting the personal liability of directors or officers, then the liability of a director or officer of the Company shall be eliminated or limited to the fullest extent permitted by the TBOC, as so amended.</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Neither any amendment nor repeal of this Article, nor the adoption of any provision of this Certificate of Formation inconsistent with this Article, shall eliminate or reduce the effect of this Article in respect of any matter occurring, or any cause of action, suit or claim accruing or arising or that, but for this Article, would accrue or arise, prior to such amendment, repeal or adoption of an inconsistent provision.</w:t>
      </w:r>
    </w:p>
    <w:p>
      <w:pPr>
        <w:pStyle w:val="TextBody"/>
        <w:bidi w:val="0"/>
        <w:spacing w:lineRule="auto" w:line="288" w:before="0" w:after="120"/>
        <w:ind w:left="0" w:right="0" w:firstLine="2990"/>
        <w:jc w:val="center"/>
        <w:rPr>
          <w:rFonts w:ascii="Adelle Sans;sans-serif" w:hAnsi="Adelle Sans;sans-serif"/>
          <w:b/>
          <w:color w:val="000000"/>
          <w:sz w:val="20"/>
        </w:rPr>
      </w:pPr>
      <w:r>
        <w:rPr>
          <w:rFonts w:ascii="Adelle Sans;sans-serif" w:hAnsi="Adelle Sans;sans-serif"/>
          <w:b/>
          <w:color w:val="000000"/>
          <w:sz w:val="20"/>
        </w:rPr>
        <w:t>ARTICLE IX</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To the fullest extent permitted by the TBOC, as it presently exists or may hereafter be amended from time to time, the Company is also authorized to provide indemnification of (and advancement of expenses to) its directors, officers, employees and agents of the Company (and any other persons to which the TBOC permits the Company to provide indemnification) through provisions in the Bylaws, agreements with such directors, officers, employees, agents or other persons, the vote of shareholders or disinterested directors or otherwise</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A right to indemnification or to advancement of expenses arising under a provision of this Certificate of Formation or the Bylaws shall not be eliminated or impaired by an amendment to this Certificate of Formation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bidi w:val="0"/>
        <w:spacing w:lineRule="auto" w:line="288" w:before="0" w:after="120"/>
        <w:ind w:left="0" w:right="0" w:firstLine="2936"/>
        <w:jc w:val="center"/>
        <w:rPr>
          <w:rFonts w:ascii="Adelle Sans;sans-serif" w:hAnsi="Adelle Sans;sans-serif"/>
          <w:b/>
          <w:color w:val="000000"/>
          <w:sz w:val="20"/>
        </w:rPr>
      </w:pPr>
      <w:r>
        <w:rPr>
          <w:rFonts w:ascii="Adelle Sans;sans-serif" w:hAnsi="Adelle Sans;sans-serif"/>
          <w:b/>
          <w:color w:val="000000"/>
          <w:sz w:val="20"/>
        </w:rPr>
        <w:t>ARTICLE X</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 xml:space="preserve">The Company elects not to be governed by Section 21.606 of the TBOC. </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ARTICLE XI</w:t>
      </w:r>
    </w:p>
    <w:p>
      <w:pPr>
        <w:pStyle w:val="TextBody"/>
        <w:bidi w:val="0"/>
        <w:spacing w:lineRule="auto" w:line="288" w:before="0" w:after="120"/>
        <w:ind w:left="0" w:right="0" w:firstLine="720"/>
        <w:jc w:val="both"/>
        <w:rPr/>
      </w:pPr>
      <w:r>
        <w:rPr>
          <w:rFonts w:ascii="Adelle Sans;sans-serif" w:hAnsi="Adelle Sans;sans-serif"/>
          <w:b w:val="false"/>
          <w:color w:val="000000"/>
          <w:sz w:val="20"/>
        </w:rPr>
        <w:t>1.</w:t>
      </w:r>
      <w:r>
        <w:rPr>
          <w:rFonts w:ascii="Adelle Sans;sans-serif" w:hAnsi="Adelle Sans;sans-serif"/>
          <w:b w:val="false"/>
          <w:color w:val="000000"/>
          <w:sz w:val="20"/>
        </w:rPr>
        <w:t>Except as provided in Article VIII and Article IX above, the Company reserves the right to amend, alter, change or repeal any provision contained in the Certificate of Formation by the affirmative vote of the holders of a majority of the total voting power represented by the outstanding capital stock of the Company entitled to vote thereon, and all rights conferred upon shareholders herein are granted subject to this reservation.</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2.     Notwithstanding any provision of the Certificate of Formation, the Bylaws or any provision of law that might otherwise permit a lesser vote, the affirmative vote of a majority of the voting power of the outstanding capital stock of the Company entitled to vote thereon, voting together as a single class, shall be required for the shareholders of the Company to amend, alter, change or repeal any provision of the Bylaws, </w:t>
      </w:r>
      <w:r>
        <w:rPr>
          <w:rFonts w:ascii="Adelle Sans;sans-serif" w:hAnsi="Adelle Sans;sans-serif"/>
          <w:b w:val="false"/>
          <w:i/>
          <w:color w:val="000000"/>
          <w:sz w:val="20"/>
        </w:rPr>
        <w:t>provided however</w:t>
      </w:r>
      <w:r>
        <w:rPr>
          <w:rFonts w:ascii="Adelle Sans;sans-serif" w:hAnsi="Adelle Sans;sans-serif"/>
          <w:b w:val="false"/>
          <w:color w:val="000000"/>
          <w:sz w:val="20"/>
        </w:rPr>
        <w:t>, that the affirmative vote of at least sixty-six and two-thirds percent (66 2/3%) of voting power of the outstanding capital stock of the Company entitled to vote thereon, voting together as a single class, shall be required for the shareholders of the Company to alter, amend or repeal, or adopt any bylaw inconsistent with Article V of the Bylaws (including, without limitation, any such article or section as renumbered as a result of any amendment, alteration, change, repeal, or adoption of any other bylaw).</w:t>
      </w:r>
    </w:p>
    <w:p>
      <w:pPr>
        <w:pStyle w:val="TextBody"/>
        <w:bidi w:val="0"/>
        <w:spacing w:lineRule="auto" w:line="288" w:before="0" w:after="120"/>
        <w:jc w:val="center"/>
        <w:rPr>
          <w:rFonts w:ascii="Adelle Sans;sans-serif" w:hAnsi="Adelle Sans;sans-serif"/>
          <w:b/>
          <w:color w:val="231F20"/>
          <w:sz w:val="20"/>
        </w:rPr>
      </w:pPr>
      <w:r>
        <w:rPr>
          <w:rFonts w:ascii="Adelle Sans;sans-serif" w:hAnsi="Adelle Sans;sans-serif"/>
          <w:b/>
          <w:color w:val="231F20"/>
          <w:sz w:val="20"/>
        </w:rPr>
        <w:t>ARTICLE XII</w:t>
      </w:r>
    </w:p>
    <w:p>
      <w:pPr>
        <w:pStyle w:val="TextBody"/>
        <w:bidi w:val="0"/>
        <w:spacing w:lineRule="auto" w:line="288" w:before="0" w:after="120"/>
        <w:ind w:left="0" w:right="0" w:firstLine="720"/>
        <w:jc w:val="both"/>
        <w:rPr>
          <w:rFonts w:ascii="Adelle Sans;sans-serif" w:hAnsi="Adelle Sans;sans-serif"/>
          <w:b w:val="false"/>
          <w:color w:val="231F20"/>
          <w:sz w:val="20"/>
        </w:rPr>
      </w:pPr>
      <w:r>
        <w:rPr>
          <w:rFonts w:ascii="Adelle Sans;sans-serif" w:hAnsi="Adelle Sans;sans-serif"/>
          <w:b w:val="false"/>
          <w:color w:val="231F20"/>
          <w:sz w:val="20"/>
        </w:rPr>
        <w:t>This document becomes effective when the document is accepted and filed by the secretary of state.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delle Sans;sans-serif" w:hAnsi="Adelle Sans;sans-serif"/>
          <w:b/>
          <w:color w:val="000000"/>
          <w:sz w:val="20"/>
        </w:rPr>
        <w:t>IN WITNESS WHEREOF</w:t>
      </w:r>
      <w:r>
        <w:rPr>
          <w:rFonts w:ascii="Adelle Sans;sans-serif" w:hAnsi="Adelle Sans;sans-serif"/>
          <w:b w:val="false"/>
          <w:color w:val="000000"/>
          <w:sz w:val="20"/>
        </w:rPr>
        <w:t>, Natural Gas Services Group, Inc., has caused this Certificate of Formation to be signed by its duly authorized officer on July 20,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3"/>
        <w:jc w:val="both"/>
        <w:rPr/>
      </w:pPr>
      <w:r>
        <w:rPr/>
      </w:r>
    </w:p>
    <w:p>
      <w:pPr>
        <w:pStyle w:val="TextBody"/>
        <w:bidi w:val="0"/>
        <w:spacing w:before="0" w:after="0"/>
        <w:jc w:val="both"/>
        <w:rPr/>
      </w:pPr>
      <w:r>
        <w:rPr/>
      </w:r>
    </w:p>
    <w:p>
      <w:pPr>
        <w:pStyle w:val="TextBody"/>
        <w:bidi w:val="0"/>
        <w:spacing w:before="0" w:after="0"/>
        <w:ind w:left="0" w:right="0" w:firstLine="7203"/>
        <w:jc w:val="both"/>
        <w:rPr/>
      </w:pPr>
      <w:r>
        <w:rPr/>
      </w:r>
    </w:p>
    <w:p>
      <w:pPr>
        <w:pStyle w:val="TextBody"/>
        <w:bidi w:val="0"/>
        <w:spacing w:before="0" w:after="0"/>
        <w:ind w:left="0" w:right="0" w:firstLine="7203"/>
        <w:jc w:val="both"/>
        <w:rPr/>
      </w:pPr>
      <w:r>
        <w:rPr/>
      </w:r>
    </w:p>
    <w:p>
      <w:pPr>
        <w:pStyle w:val="TextBody"/>
        <w:bidi w:val="0"/>
        <w:spacing w:lineRule="auto" w:line="288" w:before="0" w:after="120"/>
        <w:ind w:left="0" w:right="0" w:firstLine="4320"/>
        <w:jc w:val="both"/>
        <w:rPr/>
      </w:pPr>
      <w:r>
        <w:rPr>
          <w:rFonts w:ascii="Adelle Sans;sans-serif" w:hAnsi="Adelle Sans;sans-serif"/>
          <w:b w:val="false"/>
          <w:color w:val="000000"/>
          <w:sz w:val="20"/>
        </w:rPr>
        <w:t>By:</w:t>
      </w:r>
      <w:r>
        <w:rPr>
          <w:rFonts w:ascii="Adelle Sans;sans-serif" w:hAnsi="Adelle Sans;sans-serif"/>
          <w:b w:val="false"/>
          <w:color w:val="000000"/>
          <w:sz w:val="20"/>
          <w:u w:val="single"/>
        </w:rPr>
        <w:t>/s/ Justin C. Jacobs</w:t>
      </w:r>
    </w:p>
    <w:p>
      <w:pPr>
        <w:pStyle w:val="TextBody"/>
        <w:bidi w:val="0"/>
        <w:spacing w:lineRule="auto" w:line="288" w:before="0" w:after="0"/>
        <w:ind w:left="0" w:right="0" w:firstLine="4320"/>
        <w:jc w:val="both"/>
        <w:rPr>
          <w:rFonts w:ascii="Adelle Sans;sans-serif" w:hAnsi="Adelle Sans;sans-serif"/>
          <w:b w:val="false"/>
          <w:color w:val="000000"/>
          <w:sz w:val="20"/>
        </w:rPr>
      </w:pPr>
      <w:r>
        <w:rPr>
          <w:rFonts w:ascii="Adelle Sans;sans-serif" w:hAnsi="Adelle Sans;sans-serif"/>
          <w:b w:val="false"/>
          <w:color w:val="000000"/>
          <w:sz w:val="20"/>
        </w:rPr>
        <w:t>Name: Justin C. Jacobs</w:t>
      </w:r>
    </w:p>
    <w:p>
      <w:pPr>
        <w:pStyle w:val="TextBody"/>
        <w:bidi w:val="0"/>
        <w:spacing w:lineRule="auto" w:line="288" w:before="0" w:after="120"/>
        <w:ind w:left="0" w:right="0" w:firstLine="4320"/>
        <w:jc w:val="both"/>
        <w:rPr>
          <w:rFonts w:ascii="Adelle Sans;sans-serif" w:hAnsi="Adelle Sans;sans-serif"/>
          <w:b w:val="false"/>
          <w:color w:val="000000"/>
          <w:sz w:val="20"/>
        </w:rPr>
      </w:pPr>
      <w:r>
        <w:rPr>
          <w:rFonts w:ascii="Adelle Sans;sans-serif" w:hAnsi="Adelle Sans;sans-serif"/>
          <w:b w:val="false"/>
          <w:color w:val="000000"/>
          <w:sz w:val="20"/>
        </w:rPr>
        <w:t xml:space="preserve">Title: Chief Executive Officer </w:t>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0"/>
        <w:ind w:left="0" w:right="0" w:firstLine="720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BYLAWS OF</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NATURAL GAS SERVICES GROUP, INC.</w:t>
      </w:r>
    </w:p>
    <w:p>
      <w:pPr>
        <w:pStyle w:val="TextBody"/>
        <w:bidi w:val="0"/>
        <w:spacing w:lineRule="auto" w:line="288" w:before="0" w:after="0"/>
        <w:ind w:left="0" w:right="0" w:firstLine="653"/>
        <w:jc w:val="center"/>
        <w:rPr>
          <w:rFonts w:ascii="Adelle Sans;sans-serif" w:hAnsi="Adelle Sans;sans-serif"/>
          <w:b/>
          <w:color w:val="000000"/>
          <w:sz w:val="20"/>
        </w:rPr>
      </w:pPr>
      <w:r>
        <w:rPr>
          <w:rFonts w:ascii="Adelle Sans;sans-serif" w:hAnsi="Adelle Sans;sans-serif"/>
          <w:b/>
          <w:color w:val="000000"/>
          <w:sz w:val="20"/>
        </w:rPr>
        <w:t>Adopted July 20, 2026</w:t>
      </w:r>
    </w:p>
    <w:p>
      <w:pPr>
        <w:pStyle w:val="TextBody"/>
        <w:bidi w:val="0"/>
        <w:spacing w:lineRule="auto" w:line="288" w:before="0" w:after="120"/>
        <w:ind w:left="0" w:right="0" w:firstLine="653"/>
        <w:jc w:val="center"/>
        <w:rPr>
          <w:rFonts w:ascii="Adelle Sans;sans-serif" w:hAnsi="Adelle Sans;sans-serif"/>
          <w:b/>
          <w:color w:val="000000"/>
          <w:sz w:val="20"/>
        </w:rPr>
      </w:pPr>
      <w:r>
        <w:rPr>
          <w:rFonts w:ascii="Adelle Sans;sans-serif" w:hAnsi="Adelle Sans;sans-serif"/>
          <w:b/>
          <w:color w:val="000000"/>
          <w:sz w:val="20"/>
        </w:rPr>
        <w:t>Table of Contents</w:t>
      </w:r>
    </w:p>
    <w:tbl>
      <w:tblPr>
        <w:tblW w:w="7425" w:type="dxa"/>
        <w:jc w:val="left"/>
        <w:tblInd w:w="0" w:type="dxa"/>
        <w:tblLayout w:type="fixed"/>
        <w:tblCellMar>
          <w:top w:w="28" w:type="dxa"/>
          <w:left w:w="28" w:type="dxa"/>
          <w:bottom w:w="28" w:type="dxa"/>
          <w:right w:w="28" w:type="dxa"/>
        </w:tblCellMar>
      </w:tblPr>
      <w:tblGrid>
        <w:gridCol w:w="472"/>
        <w:gridCol w:w="415"/>
        <w:gridCol w:w="417"/>
        <w:gridCol w:w="1909"/>
        <w:gridCol w:w="1909"/>
        <w:gridCol w:w="1912"/>
        <w:gridCol w:w="114"/>
        <w:gridCol w:w="114"/>
        <w:gridCol w:w="163"/>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ARTICLE I -</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MEETINGS OF SHAREHOLDERS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4</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1.1</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Place of Meetings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4</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1.2</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Annual Meeting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4</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1.3</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Special Meeting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4</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1.4</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Advance Notice Procedures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4</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1.5</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Notice of Shareholders’ Meetings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8</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1.6</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Quorum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8</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1.7</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Adjourned Meeting;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9</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1.8</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Conduct of Business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9</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1.9</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Voting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9</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1.10</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Shareholder Action by Written Consent Without a Meeting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9</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1.11</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Record Dates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10</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1.12</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Proxies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11</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1.13</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List of Shareholders Entitled to Vote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11</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 xml:space="preserve">ARTICLE II - </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11</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2.1</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Powers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11</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2.2</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Number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11</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2.3</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Election, Qualification and Term of Office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11</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2.4</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Resignation and Vacancies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12</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2.5</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Place of Meetings; Meetings by Telephone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12</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26</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Conduct of Business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12</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2.7</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Regular Meetings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12</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2.8</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Special Meetings;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12</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2.9</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Quorum; Voting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12</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2.10</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Board Action by Written Consent Without a Meeting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13</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2.11</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Fees and Compensation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13</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2.12</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Removal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13</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ARTICLE III -</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COMMITTEES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13</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0" w:type="dxa"/>
        <w:jc w:val="left"/>
        <w:tblInd w:w="0" w:type="dxa"/>
        <w:tblLayout w:type="fixed"/>
        <w:tblCellMar>
          <w:top w:w="28" w:type="dxa"/>
          <w:left w:w="28" w:type="dxa"/>
          <w:bottom w:w="28" w:type="dxa"/>
          <w:right w:w="28" w:type="dxa"/>
        </w:tblCellMar>
      </w:tblPr>
      <w:tblGrid>
        <w:gridCol w:w="498"/>
        <w:gridCol w:w="438"/>
        <w:gridCol w:w="443"/>
        <w:gridCol w:w="2808"/>
        <w:gridCol w:w="2808"/>
        <w:gridCol w:w="2814"/>
        <w:gridCol w:w="114"/>
        <w:gridCol w:w="114"/>
        <w:gridCol w:w="163"/>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3.1</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Committees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13</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3.2</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Committee Minutes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14</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3.3</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Meetings and Actions of Committees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14</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3.4</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Subcommittees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14</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ARTICLE IV -</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14</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4.1</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14</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4.2</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Appointment of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14</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4.3</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Subordinate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14</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4.4</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Removal and Resignation of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15</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4.5</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Vacancies in Offices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15</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4.6</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Representation of Securities of Other Corporations or Entities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15</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4.7</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Authority and Duties of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15</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ARTICLE V -</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15</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5.1</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Indemnification of Directors and Officers in Third Party Proceedings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15</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5.2</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Indemnification of Directors and Officers in Actions by or in the Right of the Company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15</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5.3</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Successful Defense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16</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5.4</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Indemnification of Others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16</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5.5</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Advanced Payment of Expenses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16</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5.6</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Limitation on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16</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5.7</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Determination; Claim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16</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5.8</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Non-Exclusivity of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5.9</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5.10</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Survival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5.11</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Effect of Repeal or Modification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5.12</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Certain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 xml:space="preserve">ARTICLE VI - </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STOCK</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6.1</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Stock Certificates; No Partly Paid Shares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6.2</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Special Designation on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6.3</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Lost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6.4</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Dividends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6.5</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Stock Transfer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6.6</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Registered Shareholders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366" w:type="dxa"/>
        <w:jc w:val="left"/>
        <w:tblInd w:w="0" w:type="dxa"/>
        <w:tblLayout w:type="fixed"/>
        <w:tblCellMar>
          <w:top w:w="28" w:type="dxa"/>
          <w:left w:w="28" w:type="dxa"/>
          <w:bottom w:w="28" w:type="dxa"/>
          <w:right w:w="28" w:type="dxa"/>
        </w:tblCellMar>
      </w:tblPr>
      <w:tblGrid>
        <w:gridCol w:w="520"/>
        <w:gridCol w:w="458"/>
        <w:gridCol w:w="462"/>
        <w:gridCol w:w="1843"/>
        <w:gridCol w:w="1843"/>
        <w:gridCol w:w="1849"/>
        <w:gridCol w:w="114"/>
        <w:gridCol w:w="114"/>
        <w:gridCol w:w="163"/>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6.7</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Transfers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 xml:space="preserve">ARTICLE VII - </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MANNER OF GIVING NOTICE AND 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7.1</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Notice of Shareholders Meetings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7.2</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Waiver of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ARTICLE VIII -</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GENERAL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8.1</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Fiscal Year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8.2</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Seal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8.3</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Annual Report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8.4</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Construction;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8.5</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Election To Be Governed by Section 21.419 of the TBOC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8.6</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Forum Selection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8.7</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Jury Trial 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ARTICLE IX -</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AMENDMENTS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20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center"/>
        <w:rPr>
          <w:rFonts w:ascii="Adelle Sans;sans-serif" w:hAnsi="Adelle Sans;sans-serif"/>
          <w:b/>
          <w:color w:val="000000"/>
          <w:sz w:val="20"/>
        </w:rPr>
      </w:pPr>
      <w:r>
        <w:rPr>
          <w:rFonts w:ascii="Adelle Sans;sans-serif" w:hAnsi="Adelle Sans;sans-serif"/>
          <w:b/>
          <w:color w:val="000000"/>
          <w:sz w:val="20"/>
        </w:rPr>
        <w:t>ARTICLE I - MEETINGS OF SHAREHOLDERS</w:t>
      </w:r>
    </w:p>
    <w:p>
      <w:pPr>
        <w:pStyle w:val="TextBody"/>
        <w:bidi w:val="0"/>
        <w:spacing w:lineRule="auto" w:line="288" w:before="0" w:after="120"/>
        <w:ind w:left="0" w:right="0" w:firstLine="720"/>
        <w:jc w:val="both"/>
        <w:rPr/>
      </w:pPr>
      <w:r>
        <w:rPr>
          <w:rFonts w:ascii="Adelle Sans;sans-serif" w:hAnsi="Adelle Sans;sans-serif"/>
          <w:b/>
          <w:i/>
          <w:color w:val="000000"/>
          <w:sz w:val="20"/>
        </w:rPr>
        <w:t>1.1 Place of Meetings</w:t>
      </w:r>
      <w:r>
        <w:rPr>
          <w:rFonts w:ascii="Adelle Sans;sans-serif" w:hAnsi="Adelle Sans;sans-serif"/>
          <w:b w:val="false"/>
          <w:i/>
          <w:color w:val="000000"/>
          <w:sz w:val="20"/>
        </w:rPr>
        <w:t xml:space="preserve">. </w:t>
      </w:r>
      <w:r>
        <w:rPr>
          <w:rFonts w:ascii="Adelle Sans;sans-serif" w:hAnsi="Adelle Sans;sans-serif"/>
          <w:b w:val="false"/>
          <w:color w:val="000000"/>
          <w:sz w:val="20"/>
        </w:rPr>
        <w:t>Meetings of shareholders of Natural Gas Services Group, Inc. (the “</w:t>
      </w:r>
      <w:r>
        <w:rPr>
          <w:rFonts w:ascii="Adelle Sans;sans-serif" w:hAnsi="Adelle Sans;sans-serif"/>
          <w:b/>
          <w:color w:val="000000"/>
          <w:sz w:val="20"/>
        </w:rPr>
        <w:t>Company</w:t>
      </w:r>
      <w:r>
        <w:rPr>
          <w:color w:val="000000"/>
        </w:rPr>
        <w:t>”</w:t>
      </w:r>
      <w:r>
        <w:rPr>
          <w:rFonts w:ascii="Adelle Sans;sans-serif" w:hAnsi="Adelle Sans;sans-serif"/>
          <w:b w:val="false"/>
          <w:color w:val="000000"/>
          <w:sz w:val="20"/>
        </w:rPr>
        <w:t>) shall be held at any place, within or outside the State of Texas, determined by the Company’s board of directors (the “</w:t>
      </w:r>
      <w:r>
        <w:rPr>
          <w:rFonts w:ascii="Adelle Sans;sans-serif" w:hAnsi="Adelle Sans;sans-serif"/>
          <w:b/>
          <w:color w:val="000000"/>
          <w:sz w:val="20"/>
        </w:rPr>
        <w:t>Board</w:t>
      </w:r>
      <w:r>
        <w:rPr>
          <w:color w:val="000000"/>
        </w:rPr>
        <w:t>”</w:t>
      </w:r>
      <w:r>
        <w:rPr>
          <w:rFonts w:ascii="Adelle Sans;sans-serif" w:hAnsi="Adelle Sans;sans-serif"/>
          <w:b w:val="false"/>
          <w:color w:val="000000"/>
          <w:sz w:val="20"/>
        </w:rPr>
        <w:t>). The Board may, in its sole discretion, determine that a meeting of shareholders shall not be held at any place, but may instead be held solely by means of remote communication as authorized by Section 6.002(a) of the Texas Business Organizations Code (the “</w:t>
      </w:r>
      <w:r>
        <w:rPr>
          <w:rFonts w:ascii="Adelle Sans;sans-serif" w:hAnsi="Adelle Sans;sans-serif"/>
          <w:b/>
          <w:color w:val="000000"/>
          <w:sz w:val="20"/>
        </w:rPr>
        <w:t>TBOC</w:t>
      </w:r>
      <w:r>
        <w:rPr>
          <w:color w:val="000000"/>
        </w:rPr>
        <w:t>”</w:t>
      </w:r>
      <w:r>
        <w:rPr>
          <w:rFonts w:ascii="Adelle Sans;sans-serif" w:hAnsi="Adelle Sans;sans-serif"/>
          <w:b w:val="false"/>
          <w:color w:val="000000"/>
          <w:sz w:val="20"/>
        </w:rPr>
        <w:t>). In the absence of any such designation or determination, shareholder meetings shall be held at the Company’s principal executive office. To the extent permitted by the TBOC, the Board may postpone or reschedule any previously scheduled meeting of shareholders at any time, before or after the notice for such meeting has been given to the shareholders.</w:t>
      </w:r>
    </w:p>
    <w:p>
      <w:pPr>
        <w:pStyle w:val="TextBody"/>
        <w:bidi w:val="0"/>
        <w:spacing w:lineRule="auto" w:line="288" w:before="0" w:after="120"/>
        <w:ind w:left="0" w:right="0" w:firstLine="720"/>
        <w:jc w:val="both"/>
        <w:rPr/>
      </w:pPr>
      <w:r>
        <w:rPr>
          <w:rFonts w:ascii="Adelle Sans;sans-serif" w:hAnsi="Adelle Sans;sans-serif"/>
          <w:b/>
          <w:i/>
          <w:color w:val="000000"/>
          <w:sz w:val="20"/>
        </w:rPr>
        <w:t>1.2 Annual Meeting</w:t>
      </w:r>
      <w:r>
        <w:rPr>
          <w:rFonts w:ascii="Adelle Sans;sans-serif" w:hAnsi="Adelle Sans;sans-serif"/>
          <w:b w:val="false"/>
          <w:i/>
          <w:color w:val="000000"/>
          <w:sz w:val="20"/>
        </w:rPr>
        <w:t xml:space="preserve">. </w:t>
      </w:r>
      <w:r>
        <w:rPr>
          <w:rFonts w:ascii="Adelle Sans;sans-serif" w:hAnsi="Adelle Sans;sans-serif"/>
          <w:b w:val="false"/>
          <w:color w:val="000000"/>
          <w:sz w:val="20"/>
        </w:rPr>
        <w:t>Unless directors are elected by written consent in lieu of an annual meeting, an annual meeting of shareholders shall be held for the election of directors and for the transaction of such other business as may properly come before the meeting, at such date and time as may be designated by resolution of the Board from time to time.</w:t>
      </w:r>
    </w:p>
    <w:p>
      <w:pPr>
        <w:pStyle w:val="TextBody"/>
        <w:bidi w:val="0"/>
        <w:spacing w:lineRule="auto" w:line="288" w:before="0" w:after="120"/>
        <w:ind w:left="0" w:right="0" w:firstLine="720"/>
        <w:jc w:val="both"/>
        <w:rPr/>
      </w:pPr>
      <w:r>
        <w:rPr>
          <w:rFonts w:ascii="Adelle Sans;sans-serif" w:hAnsi="Adelle Sans;sans-serif"/>
          <w:b/>
          <w:i/>
          <w:color w:val="000000"/>
          <w:sz w:val="20"/>
        </w:rPr>
        <w:t>1.3 Special Meeting</w:t>
      </w:r>
      <w:r>
        <w:rPr>
          <w:rFonts w:ascii="Adelle Sans;sans-serif" w:hAnsi="Adelle Sans;sans-serif"/>
          <w:b w:val="false"/>
          <w:i/>
          <w:color w:val="000000"/>
          <w:sz w:val="20"/>
        </w:rPr>
        <w:t xml:space="preserve">. </w:t>
      </w:r>
      <w:r>
        <w:rPr>
          <w:rFonts w:ascii="Adelle Sans;sans-serif" w:hAnsi="Adelle Sans;sans-serif"/>
          <w:b w:val="false"/>
          <w:color w:val="000000"/>
          <w:sz w:val="20"/>
        </w:rPr>
        <w:t>Special meetings of shareholders of the Company may be called only in the manner set forth in the Company’s certificate of formation.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If a special meeting of the shareholders has been called, the Company shall cause notice to be given to the shareholders entitled to vote at such meeting, in accordance with these bylaws, that a meeting will be held at the time requested by the person or persons calling the meeting. The notice of a special meeting shall include the purpose for which the meeting is called. Only such business shall be conducted at a special meeting of shareholders as shall have been brought before the special meeting pursuant to the notice of a special meeting. Nothing contained in this </w:t>
      </w:r>
      <w:r>
        <w:rPr>
          <w:rFonts w:ascii="Adelle Sans;sans-serif" w:hAnsi="Adelle Sans;sans-serif"/>
          <w:b/>
          <w:color w:val="000000"/>
          <w:sz w:val="20"/>
        </w:rPr>
        <w:t xml:space="preserve">Section 1.3 </w:t>
      </w:r>
      <w:r>
        <w:rPr>
          <w:rFonts w:ascii="Adelle Sans;sans-serif" w:hAnsi="Adelle Sans;sans-serif"/>
          <w:b w:val="false"/>
          <w:color w:val="000000"/>
          <w:sz w:val="20"/>
        </w:rPr>
        <w:t>shall be construed as limiting, fixing or affecting the time when a meeting of shareholders called by action of the Board may be held.</w:t>
      </w:r>
    </w:p>
    <w:p>
      <w:pPr>
        <w:pStyle w:val="TextBody"/>
        <w:bidi w:val="0"/>
        <w:spacing w:lineRule="auto" w:line="288" w:before="0" w:after="120"/>
        <w:ind w:left="0" w:right="0" w:firstLine="720"/>
        <w:jc w:val="left"/>
        <w:rPr/>
      </w:pPr>
      <w:r>
        <w:rPr>
          <w:rFonts w:ascii="Adelle Sans;sans-serif" w:hAnsi="Adelle Sans;sans-serif"/>
          <w:b/>
          <w:i/>
          <w:color w:val="000000"/>
          <w:sz w:val="20"/>
        </w:rPr>
        <w:t>1.4 Advance Notice Procedures</w:t>
      </w:r>
      <w:r>
        <w:rPr>
          <w:rFonts w:ascii="Adelle Sans;sans-serif" w:hAnsi="Adelle Sans;sans-serif"/>
          <w:b w:val="false"/>
          <w:color w:val="000000"/>
          <w:sz w:val="20"/>
        </w:rPr>
        <w:t>.</w:t>
      </w:r>
    </w:p>
    <w:p>
      <w:pPr>
        <w:pStyle w:val="TextBody"/>
        <w:bidi w:val="0"/>
        <w:spacing w:lineRule="auto" w:line="288" w:before="0" w:after="120"/>
        <w:jc w:val="both"/>
        <w:rPr/>
      </w:pPr>
      <w:r>
        <w:rPr>
          <w:rFonts w:ascii="Adelle Sans;sans-serif" w:hAnsi="Adelle Sans;sans-serif"/>
          <w:b w:val="false"/>
          <w:i/>
          <w:color w:val="000000"/>
          <w:sz w:val="20"/>
        </w:rPr>
        <w:t>(i) Annual Meetings of Shareholders</w:t>
      </w:r>
      <w:r>
        <w:rPr>
          <w:rFonts w:ascii="Adelle Sans;sans-serif" w:hAnsi="Adelle Sans;sans-serif"/>
          <w:b w:val="false"/>
          <w:color w:val="000000"/>
          <w:sz w:val="20"/>
        </w:rPr>
        <w:t>.</w:t>
      </w:r>
    </w:p>
    <w:p>
      <w:pPr>
        <w:pStyle w:val="TextBody"/>
        <w:bidi w:val="0"/>
        <w:spacing w:lineRule="auto" w:line="288" w:before="0" w:after="120"/>
        <w:ind w:left="0" w:right="0" w:firstLine="1800"/>
        <w:jc w:val="both"/>
        <w:rPr/>
      </w:pPr>
      <w:r>
        <w:rPr>
          <w:rFonts w:ascii="Adelle Sans;sans-serif" w:hAnsi="Adelle Sans;sans-serif"/>
          <w:b w:val="false"/>
          <w:color w:val="000000"/>
          <w:sz w:val="20"/>
        </w:rPr>
        <w:t xml:space="preserve">(a) Nominations of persons for election to the Board or the proposal of other business to be transacted by the shareholders at an annual meeting of shareholders may be made only (1) pursuant to the Company’s notice of meeting (or any supplement thereto); (2) by or at the direction of the Board; (3) as may be provided in the certificate of designations for any class or series of Preferred Stock; or (4) by any shareholder of the Company who (A) is a shareholder of record at the time of giving of the notice contemplated by </w:t>
      </w:r>
      <w:r>
        <w:rPr>
          <w:rFonts w:ascii="Adelle Sans;sans-serif" w:hAnsi="Adelle Sans;sans-serif"/>
          <w:b/>
          <w:color w:val="000000"/>
          <w:sz w:val="20"/>
        </w:rPr>
        <w:t>Section 1.4(i)(b)</w:t>
      </w:r>
      <w:r>
        <w:rPr>
          <w:rFonts w:ascii="Adelle Sans;sans-serif" w:hAnsi="Adelle Sans;sans-serif"/>
          <w:b w:val="false"/>
          <w:color w:val="000000"/>
          <w:sz w:val="20"/>
        </w:rPr>
        <w:t xml:space="preserve">; (B) is a shareholder of record on the record date for the determination of shareholders entitled to notice of the annual meeting; (C) is a shareholder of record on the record date for the determination of shareholders entitled to vote at the annual meeting (if such date is different from the record date for determining shareholders entitled to notice of the meeting); (D) is a shareholder of record at the time of the annual meeting; and (E) complies with the procedures set forth in this </w:t>
      </w:r>
      <w:r>
        <w:rPr>
          <w:rFonts w:ascii="Adelle Sans;sans-serif" w:hAnsi="Adelle Sans;sans-serif"/>
          <w:b/>
          <w:color w:val="000000"/>
          <w:sz w:val="20"/>
        </w:rPr>
        <w:t>Section 1.4(i).</w:t>
      </w:r>
    </w:p>
    <w:p>
      <w:pPr>
        <w:pStyle w:val="TextBody"/>
        <w:bidi w:val="0"/>
        <w:spacing w:lineRule="auto" w:line="288" w:before="0" w:after="120"/>
        <w:ind w:left="0" w:right="0" w:firstLine="1800"/>
        <w:jc w:val="both"/>
        <w:rPr/>
      </w:pPr>
      <w:r>
        <w:rPr>
          <w:rFonts w:ascii="Adelle Sans;sans-serif" w:hAnsi="Adelle Sans;sans-serif"/>
          <w:b w:val="false"/>
          <w:color w:val="000000"/>
          <w:sz w:val="20"/>
        </w:rPr>
        <w:t xml:space="preserve">(b) For nominations or other business to be properly brought before an annual meeting of shareholders by a shareholder pursuant to clause (4) of </w:t>
      </w:r>
      <w:r>
        <w:rPr>
          <w:rFonts w:ascii="Adelle Sans;sans-serif" w:hAnsi="Adelle Sans;sans-serif"/>
          <w:b/>
          <w:color w:val="000000"/>
          <w:sz w:val="20"/>
        </w:rPr>
        <w:t>Section 1.4(i)(a)</w:t>
      </w:r>
      <w:r>
        <w:rPr>
          <w:rFonts w:ascii="Adelle Sans;sans-serif" w:hAnsi="Adelle Sans;sans-serif"/>
          <w:b w:val="false"/>
          <w:color w:val="000000"/>
          <w:sz w:val="20"/>
        </w:rPr>
        <w:t xml:space="preserve">, the shareholder must have given timely notice in writing to the secretary and any such nomination or proposed business must constitute a proper matter for shareholder action. To be timely, a shareholder’s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shareholders. However, if no annual meeting of shareholders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Official Notice of the date of the annual meeting was first given by the Company. In no event will the adjournment, rescheduling or postponement of any annual meeting, or any announcement thereof, commence a new time period (or extend any time period) for the giving of a shareholder’s notice as described above. If the number of directors to be elected to the Board is increased and there is no Official Notice naming all of the nominees for director or specifying the size of the increased Board at least 10 days before the last day that a shareholder may deliver a notice of nomination pursuant to the foregoing provisions, then a shareholder’s notice required by this </w:t>
      </w:r>
      <w:r>
        <w:rPr>
          <w:rFonts w:ascii="Adelle Sans;sans-serif" w:hAnsi="Adelle Sans;sans-serif"/>
          <w:b/>
          <w:color w:val="000000"/>
          <w:sz w:val="20"/>
        </w:rPr>
        <w:t xml:space="preserve">Section 1.4(i)(b) </w:t>
      </w:r>
      <w:r>
        <w:rPr>
          <w:rFonts w:ascii="Adelle Sans;sans-serif" w:hAnsi="Adelle Sans;sans-serif"/>
          <w:b w:val="false"/>
          <w:color w:val="000000"/>
          <w:sz w:val="20"/>
        </w:rPr>
        <w:t>will also be considered timely, but only with respect to nominees for any new positions created by such increase, if it is received by the secretary at the principal executive offices of the Company no later than 5:00 p.m., local time, on the 10th day following the day on which such Official Notice is first given. “</w:t>
      </w:r>
      <w:r>
        <w:rPr>
          <w:rFonts w:ascii="Adelle Sans;sans-serif" w:hAnsi="Adelle Sans;sans-serif"/>
          <w:b/>
          <w:color w:val="000000"/>
          <w:sz w:val="20"/>
        </w:rPr>
        <w:t>Official Notice</w:t>
      </w:r>
      <w:r>
        <w:rPr>
          <w:color w:val="000000"/>
        </w:rPr>
        <w:t xml:space="preserve">” </w:t>
      </w:r>
      <w:r>
        <w:rPr>
          <w:rFonts w:ascii="Adelle Sans;sans-serif" w:hAnsi="Adelle Sans;sans-serif"/>
          <w:b w:val="false"/>
          <w:color w:val="000000"/>
          <w:sz w:val="20"/>
        </w:rPr>
        <w:t xml:space="preserve">means disclosure in a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press release or by notice in writing or electronic transmission disseminated by or at the direction of the Company to all shareholders entitled to notice of shareholder meetings.</w:t>
      </w:r>
    </w:p>
    <w:p>
      <w:pPr>
        <w:pStyle w:val="TextBody"/>
        <w:bidi w:val="0"/>
        <w:spacing w:lineRule="auto" w:line="288" w:before="0" w:after="120"/>
        <w:ind w:left="0" w:right="0" w:firstLine="1800"/>
        <w:jc w:val="both"/>
        <w:rPr>
          <w:rFonts w:ascii="Adelle Sans;sans-serif" w:hAnsi="Adelle Sans;sans-serif"/>
          <w:b w:val="false"/>
          <w:color w:val="000000"/>
          <w:sz w:val="20"/>
        </w:rPr>
      </w:pPr>
      <w:r>
        <w:rPr>
          <w:rFonts w:ascii="Adelle Sans;sans-serif" w:hAnsi="Adelle Sans;sans-serif"/>
          <w:b w:val="false"/>
          <w:color w:val="000000"/>
          <w:sz w:val="20"/>
        </w:rPr>
        <w:t>(c) A shareholder’s notice to the secretary must set forth:</w:t>
      </w:r>
    </w:p>
    <w:p>
      <w:pPr>
        <w:pStyle w:val="TextBody"/>
        <w:bidi w:val="0"/>
        <w:spacing w:lineRule="auto" w:line="288" w:before="0" w:after="12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 as to each person whom the shareholder proposes to nominate for election as a director:</w:t>
      </w:r>
    </w:p>
    <w:p>
      <w:pPr>
        <w:pStyle w:val="TextBody"/>
        <w:bidi w:val="0"/>
        <w:spacing w:lineRule="auto" w:line="288" w:before="0" w:after="120"/>
        <w:ind w:left="0" w:right="0" w:firstLine="2592"/>
        <w:jc w:val="both"/>
        <w:rPr/>
      </w:pPr>
      <w:r>
        <w:rPr>
          <w:rFonts w:ascii="Adelle Sans;sans-serif" w:hAnsi="Adelle Sans;sans-serif"/>
          <w:b w:val="false"/>
          <w:color w:val="000000"/>
          <w:sz w:val="20"/>
        </w:rPr>
        <w:t>a) such person’s name, age, business address, residence address and principal occupation or employment; the class and number of shares of the corporation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would be required to be disclosed in solicitations of proxies for the contested election of directors of publicly traded corporations, or otherwise would be required, in each case pursuant to Section 14 of the Securities Exchange Act of 1934, as amended (the “</w:t>
      </w:r>
      <w:r>
        <w:rPr>
          <w:rFonts w:ascii="Adelle Sans;sans-serif" w:hAnsi="Adelle Sans;sans-serif"/>
          <w:b/>
          <w:color w:val="000000"/>
          <w:sz w:val="20"/>
        </w:rPr>
        <w:t>1934 Act</w:t>
      </w:r>
      <w:r>
        <w:rPr>
          <w:color w:val="000000"/>
        </w:rPr>
        <w:t>”</w:t>
      </w:r>
      <w:r>
        <w:rPr>
          <w:rFonts w:ascii="Adelle Sans;sans-serif" w:hAnsi="Adelle Sans;sans-serif"/>
          <w:b w:val="false"/>
          <w:color w:val="000000"/>
          <w:sz w:val="20"/>
        </w:rPr>
        <w:t>), if the Company were publicly traded;</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b) such person’s written consent to being named in such shareholder’s proxy statement as a nominee of such shareholder and to serving as a director of the Company if elected;</w:t>
      </w:r>
    </w:p>
    <w:p>
      <w:pPr>
        <w:pStyle w:val="TextBody"/>
        <w:bidi w:val="0"/>
        <w:spacing w:lineRule="auto" w:line="288" w:before="0" w:after="120"/>
        <w:ind w:left="0" w:right="0" w:firstLine="2592"/>
        <w:jc w:val="both"/>
        <w:rPr/>
      </w:pPr>
      <w:r>
        <w:rPr>
          <w:rFonts w:ascii="Adelle Sans;sans-serif" w:hAnsi="Adelle Sans;sans-serif"/>
          <w:b w:val="false"/>
          <w:color w:val="000000"/>
          <w:sz w:val="20"/>
        </w:rPr>
        <w:t>c) 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Adelle Sans;sans-serif" w:hAnsi="Adelle Sans;sans-serif"/>
          <w:b/>
          <w:color w:val="000000"/>
          <w:sz w:val="20"/>
        </w:rPr>
        <w:t>Third-Party Compensation Arrangement</w:t>
      </w:r>
      <w:r>
        <w:rPr>
          <w:color w:val="000000"/>
        </w:rPr>
        <w:t>”</w:t>
      </w:r>
      <w:r>
        <w:rPr>
          <w:rFonts w:ascii="Adelle Sans;sans-serif" w:hAnsi="Adelle Sans;sans-serif"/>
          <w:b w:val="false"/>
          <w:color w:val="000000"/>
          <w:sz w:val="20"/>
        </w:rPr>
        <w:t>); and</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d) a description of any other material relationships between such person and such person’s respective affiliates and associates, or others acting in concert with them, on the one hand, and such shareholder giving the notice and the beneficial owner, if any, on whose behalf the nomination is made, and their respective affiliates and associates, or others acting in concert with them, on the other hand;</w:t>
      </w:r>
    </w:p>
    <w:p>
      <w:pPr>
        <w:pStyle w:val="TextBody"/>
        <w:bidi w:val="0"/>
        <w:spacing w:lineRule="auto" w:line="288" w:before="0" w:after="12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(2) as to any other business that the shareholder proposes to bring before the annual meeting:</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a) a brief description of the business desired to be brought before the annual meeting;</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b) the text of the proposal or business (including the text of any resolutions proposed for consideration and, if applicable, the text of any proposed amendment to these bylaws or the Company’s certificate of formation);</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c) the reasons for conducting such business at the annual meeting;</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d) any material interest in such business of such shareholder giving the notice and the beneficial owner, if any, on whose behalf the proposal is made, and their respective affiliates and associates, or others acting in concert with them; and</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e) a description of all agreements, arrangements and understandings between such shareholder and the beneficial owner, if any, on whose behalf the proposal is made, and their respective affiliates or associates or others acting in concert with them, and any other person or persons (including their names) in connection with the proposal of such business by such shareholder; and</w:t>
      </w:r>
    </w:p>
    <w:p>
      <w:pPr>
        <w:pStyle w:val="TextBody"/>
        <w:bidi w:val="0"/>
        <w:spacing w:lineRule="auto" w:line="288" w:before="0" w:after="12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(3) as to the shareholder giving the notice and the beneficial owner, if any, on whose behalf the nomination or proposal is made:</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a) the name and address of such shareholder (as they appear on the Company’s books), of such beneficial owner and of their respective affiliates or associates or others acting in concert with them;</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b) for each class or series, the number of shares of stock of the Company that are, directly or indirectly, held of record or are beneficially owned by such shareholder, such beneficial owner or their respective affiliates or associates or others acting in concert with them;</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c) a description of any agreement, arrangement or understanding between such shareholder, such beneficial owner or their respective affiliates or associates or others acting in concert with them, and any other person or persons (including, in each case, their names) in connection with the proposal of such nomination or other business;</w:t>
      </w:r>
    </w:p>
    <w:p>
      <w:pPr>
        <w:pStyle w:val="TextBody"/>
        <w:bidi w:val="0"/>
        <w:spacing w:lineRule="auto" w:line="288" w:before="0" w:after="120"/>
        <w:ind w:left="0" w:right="0" w:firstLine="2592"/>
        <w:jc w:val="both"/>
        <w:rPr/>
      </w:pPr>
      <w:r>
        <w:rPr>
          <w:rFonts w:ascii="Adelle Sans;sans-serif" w:hAnsi="Adelle Sans;sans-serif"/>
          <w:b w:val="false"/>
          <w:color w:val="000000"/>
          <w:sz w:val="20"/>
        </w:rPr>
        <w:t>d) 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shareholder, such beneficial owner or their respective affiliates or associates or others acting in concert with them, with respect to the Company’s securities (any of the foregoing, a “</w:t>
      </w:r>
      <w:r>
        <w:rPr>
          <w:rFonts w:ascii="Adelle Sans;sans-serif" w:hAnsi="Adelle Sans;sans-serif"/>
          <w:b/>
          <w:color w:val="000000"/>
          <w:sz w:val="20"/>
        </w:rPr>
        <w:t>Derivative Instrument</w:t>
      </w:r>
      <w:r>
        <w:rPr>
          <w:color w:val="000000"/>
        </w:rPr>
        <w:t>”</w:t>
      </w:r>
      <w:r>
        <w:rPr>
          <w:rFonts w:ascii="Adelle Sans;sans-serif" w:hAnsi="Adelle Sans;sans-serif"/>
          <w:b w:val="false"/>
          <w:color w:val="000000"/>
          <w:sz w:val="20"/>
        </w:rPr>
        <w:t>), or any other agreement, arrangement or understanding that has been made the effect or intent of which is to create or mitigate loss to, manage risk or benefit of share price changes for or increase or decrease the voting power of such shareholder, such beneficial owner or their respective affiliates or associates or others acting in concert with them, with respect to the Company’s securities;</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e) any rights to dividends on the Company’s securities owned beneficially by such shareholder, such beneficial owner or their respective affiliates or associates or others acting in concert with them, that are separated or separable from the underlying security;</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f) any proportionate interest in the Company’s securities or Derivative Instruments held, directly or indirectly, by a general or limited partnership in which such shareholder, such beneficial owner or their respective affiliates or associates or others acting in concert with them, is a general partner or, directly or indirectly, beneficially owns an interest in a general partner of such general or limited partnership;</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g) any performance-related fees (other than an asset-based fee) that such shareholder,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h) any significant equity interests or any Derivative Instruments in any principal competitor of the Company that are held by such shareholder, such beneficial owner or their respective affiliates or associates or others acting in concert with them; any direct or indirect interest of such shareholder,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i) a representation and undertaking that the shareholder is a holder of record of stock of the Company as of the date of submission of the shareholder’s notice and intends to appear in person or by proxy at the meeting to bring such nomination or other business before the meeting;</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j) a representation and undertaking that such shareholder or any such beneficial owner intends, or is part of a group that intends, to (x) deliver a proxy statement or other proxy solicitation material or form of proxy to holders of at least the percentage of the voting power of the Company’s then-outstanding stock required to approve or adopt the proposal or to elect each such nominee; or (y) otherwise solicit proxies from shareholders in support of such proposal or nomination;</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k) any other information relating to such shareholder, such beneficial owner, or their respective affiliates or associates or others acting in concert with them, or director nominee or proposed business that, in each case, would be required to be disclosed in a proxy statement or other filing that would be required to be made in connection with the solicitation of proxies in support of such nominee (in a contested election of directors) or proposal pursuant to Section 14 of the 1934 Act if the Company were publicly traded; and</w:t>
      </w:r>
    </w:p>
    <w:p>
      <w:pPr>
        <w:pStyle w:val="TextBody"/>
        <w:bidi w:val="0"/>
        <w:spacing w:lineRule="auto" w:line="288" w:before="0" w:after="120"/>
        <w:ind w:left="0" w:right="0" w:firstLine="2592"/>
        <w:jc w:val="both"/>
        <w:rPr>
          <w:rFonts w:ascii="Adelle Sans;sans-serif" w:hAnsi="Adelle Sans;sans-serif"/>
          <w:b w:val="false"/>
          <w:color w:val="000000"/>
          <w:sz w:val="20"/>
        </w:rPr>
      </w:pPr>
      <w:r>
        <w:rPr>
          <w:rFonts w:ascii="Adelle Sans;sans-serif" w:hAnsi="Adelle Sans;sans-serif"/>
          <w:b w:val="false"/>
          <w:color w:val="000000"/>
          <w:sz w:val="20"/>
        </w:rPr>
        <w:t>l) such other information relating to any proposed item of business as the Company may reasonably require to determine whether such proposed item of business is a proper matter for shareholder action.</w:t>
      </w:r>
    </w:p>
    <w:p>
      <w:pPr>
        <w:pStyle w:val="TextBody"/>
        <w:bidi w:val="0"/>
        <w:spacing w:lineRule="auto" w:line="288" w:before="0" w:after="120"/>
        <w:ind w:left="0" w:right="0" w:firstLine="1800"/>
        <w:jc w:val="both"/>
        <w:rPr/>
      </w:pPr>
      <w:r>
        <w:rPr>
          <w:rFonts w:ascii="Adelle Sans;sans-serif" w:hAnsi="Adelle Sans;sans-serif"/>
          <w:b w:val="false"/>
          <w:color w:val="000000"/>
          <w:sz w:val="20"/>
        </w:rPr>
        <w:t xml:space="preserve">(d) In addition to the requirements of this </w:t>
      </w:r>
      <w:r>
        <w:rPr>
          <w:rFonts w:ascii="Adelle Sans;sans-serif" w:hAnsi="Adelle Sans;sans-serif"/>
          <w:b/>
          <w:color w:val="000000"/>
          <w:sz w:val="20"/>
        </w:rPr>
        <w:t>Section 1.4</w:t>
      </w:r>
      <w:r>
        <w:rPr>
          <w:rFonts w:ascii="Adelle Sans;sans-serif" w:hAnsi="Adelle Sans;sans-serif"/>
          <w:b w:val="false"/>
          <w:color w:val="000000"/>
          <w:sz w:val="20"/>
        </w:rPr>
        <w:t xml:space="preserve">, to be timely, a shareholder’s notice (and any additional information submitted to the Company in connection therewith) must further be updated and supplemented, if necessary, (1) so that the information provided or required to be provided in such notice is true and correct as of the record date(s) for determining the shareholders entitled to notice of, and to vote at, the meeting and as of the date that is 10 business days prior to the meeting or any adjournment, rescheduling or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corporation or, in the case of an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pStyle w:val="TextBody"/>
        <w:bidi w:val="0"/>
        <w:spacing w:lineRule="auto" w:line="288" w:before="0" w:after="120"/>
        <w:ind w:left="0" w:right="0" w:firstLine="1080"/>
        <w:jc w:val="both"/>
        <w:rPr/>
      </w:pPr>
      <w:r>
        <w:rPr>
          <w:rFonts w:ascii="Adelle Sans;sans-serif" w:hAnsi="Adelle Sans;sans-serif"/>
          <w:b w:val="false"/>
          <w:color w:val="000000"/>
          <w:sz w:val="20"/>
        </w:rPr>
        <w:t xml:space="preserve">(ii) </w:t>
      </w:r>
      <w:r>
        <w:rPr>
          <w:rFonts w:ascii="Adelle Sans;sans-serif" w:hAnsi="Adelle Sans;sans-serif"/>
          <w:b w:val="false"/>
          <w:i/>
          <w:color w:val="000000"/>
          <w:sz w:val="20"/>
        </w:rPr>
        <w:t>Special Meetings of Shareholders</w:t>
      </w:r>
      <w:r>
        <w:rPr>
          <w:rFonts w:ascii="Adelle Sans;sans-serif" w:hAnsi="Adelle Sans;sans-serif"/>
          <w:b w:val="false"/>
          <w:color w:val="000000"/>
          <w:sz w:val="20"/>
        </w:rPr>
        <w:t xml:space="preserve">. Except to the extent required by the TBOC, and subject to </w:t>
      </w:r>
      <w:r>
        <w:rPr>
          <w:rFonts w:ascii="Adelle Sans;sans-serif" w:hAnsi="Adelle Sans;sans-serif"/>
          <w:b/>
          <w:color w:val="000000"/>
          <w:sz w:val="20"/>
        </w:rPr>
        <w:t>Section 1.3</w:t>
      </w:r>
      <w:r>
        <w:rPr>
          <w:rFonts w:ascii="Adelle Sans;sans-serif" w:hAnsi="Adelle Sans;sans-serif"/>
          <w:b w:val="false"/>
          <w:color w:val="000000"/>
          <w:sz w:val="20"/>
        </w:rPr>
        <w:t xml:space="preserve">, special meetings of shareholders may be called only in accordance with the Company’s certificate of formation and these bylaws. Only such business will be conducted at a special meeting of shareholders as has been brought before the special meeting pursuant to the Company’s notice of meeting. If the election of directors is included as business to be brought before a special meeting in the Company’s notice of meeting, then nominations of persons for election to the Board at such special meeting may be made by any shareholder who (i) is a shareholder of record at the time of giving of the notice contemplated by this </w:t>
      </w:r>
      <w:r>
        <w:rPr>
          <w:rFonts w:ascii="Adelle Sans;sans-serif" w:hAnsi="Adelle Sans;sans-serif"/>
          <w:b/>
          <w:color w:val="000000"/>
          <w:sz w:val="20"/>
        </w:rPr>
        <w:t>Section 1.4(ii)</w:t>
      </w:r>
      <w:r>
        <w:rPr>
          <w:rFonts w:ascii="Adelle Sans;sans-serif" w:hAnsi="Adelle Sans;sans-serif"/>
          <w:b w:val="false"/>
          <w:color w:val="000000"/>
          <w:sz w:val="20"/>
        </w:rPr>
        <w:t xml:space="preserve">; (ii) is a shareholder of record on the record date for the determination of shareholders entitled to notice of the special meeting; (iii) is a shareholder of record on the record date for the determination of shareholders entitled to vote at the special meeting; (iv) is a shareholder of record at the time of the special meeting; and (v) complies with the procedures set forth in this </w:t>
      </w:r>
      <w:r>
        <w:rPr>
          <w:rFonts w:ascii="Adelle Sans;sans-serif" w:hAnsi="Adelle Sans;sans-serif"/>
          <w:b/>
          <w:color w:val="000000"/>
          <w:sz w:val="20"/>
        </w:rPr>
        <w:t>Section 1.4(ii)</w:t>
      </w:r>
      <w:r>
        <w:rPr>
          <w:rFonts w:ascii="Adelle Sans;sans-serif" w:hAnsi="Adelle Sans;sans-serif"/>
          <w:b w:val="false"/>
          <w:color w:val="000000"/>
          <w:sz w:val="20"/>
        </w:rPr>
        <w:t xml:space="preserve">. For nominations to be properly brought by a shareholder before a special meeting pursuant to this </w:t>
      </w:r>
      <w:r>
        <w:rPr>
          <w:rFonts w:ascii="Adelle Sans;sans-serif" w:hAnsi="Adelle Sans;sans-serif"/>
          <w:b/>
          <w:color w:val="000000"/>
          <w:sz w:val="20"/>
        </w:rPr>
        <w:t>Section 1.4(ii)</w:t>
      </w:r>
      <w:r>
        <w:rPr>
          <w:rFonts w:ascii="Adelle Sans;sans-serif" w:hAnsi="Adelle Sans;sans-serif"/>
          <w:b w:val="false"/>
          <w:color w:val="000000"/>
          <w:sz w:val="20"/>
        </w:rPr>
        <w:t xml:space="preserve">, the shareholder’s notice must be received by the secretary at the principal executive offices of the Company no earlier than 8:00 a.m., local time, on the 120th day prior to the day of the special meeting and no later than 5:00 p.m., local time, on the 10th day following the day on which Official Notice of the date of the special meeting was first given. In no event will any adjournment, rescheduling or postponement of a special meeting or the announcement thereof commence a new time period (or extend any time period) for the giving of a shareholder’s notice. A shareholder’s notice to the Secretary must comply with the applicable notice requirements of </w:t>
      </w:r>
      <w:r>
        <w:rPr>
          <w:rFonts w:ascii="Adelle Sans;sans-serif" w:hAnsi="Adelle Sans;sans-serif"/>
          <w:b/>
          <w:color w:val="000000"/>
          <w:sz w:val="20"/>
        </w:rPr>
        <w:t>Section 1.4(a)(iii)</w:t>
      </w:r>
      <w:r>
        <w:rPr>
          <w:rFonts w:ascii="Adelle Sans;sans-serif" w:hAnsi="Adelle Sans;sans-serif"/>
          <w:b w:val="false"/>
          <w:color w:val="000000"/>
          <w:sz w:val="20"/>
        </w:rPr>
        <w:t>.</w:t>
      </w:r>
    </w:p>
    <w:p>
      <w:pPr>
        <w:pStyle w:val="TextBody"/>
        <w:bidi w:val="0"/>
        <w:spacing w:lineRule="auto" w:line="288" w:before="0" w:after="120"/>
        <w:ind w:left="0" w:right="0" w:firstLine="1080"/>
        <w:jc w:val="both"/>
        <w:rPr/>
      </w:pPr>
      <w:r>
        <w:rPr>
          <w:rFonts w:ascii="Adelle Sans;sans-serif" w:hAnsi="Adelle Sans;sans-serif"/>
          <w:b w:val="false"/>
          <w:color w:val="000000"/>
          <w:sz w:val="20"/>
        </w:rPr>
        <w:t>(iii)</w:t>
      </w:r>
      <w:r>
        <w:rPr>
          <w:rFonts w:ascii="Adelle Sans;sans-serif" w:hAnsi="Adelle Sans;sans-serif"/>
          <w:b w:val="false"/>
          <w:i/>
          <w:color w:val="000000"/>
          <w:sz w:val="20"/>
        </w:rPr>
        <w:t>Other Requirements</w:t>
      </w:r>
      <w:r>
        <w:rPr>
          <w:rFonts w:ascii="Adelle Sans;sans-serif" w:hAnsi="Adelle Sans;sans-serif"/>
          <w:b w:val="false"/>
          <w:color w:val="000000"/>
          <w:sz w:val="20"/>
        </w:rPr>
        <w:t>.</w:t>
      </w:r>
    </w:p>
    <w:p>
      <w:pPr>
        <w:pStyle w:val="TextBody"/>
        <w:bidi w:val="0"/>
        <w:spacing w:lineRule="auto" w:line="288" w:before="0" w:after="120"/>
        <w:ind w:left="0" w:right="0" w:firstLine="1800"/>
        <w:jc w:val="both"/>
        <w:rPr/>
      </w:pPr>
      <w:r>
        <w:rPr>
          <w:rFonts w:ascii="Adelle Sans;sans-serif" w:hAnsi="Adelle Sans;sans-serif"/>
          <w:b w:val="false"/>
          <w:color w:val="000000"/>
          <w:sz w:val="20"/>
        </w:rPr>
        <w:t xml:space="preserve">(a) To be eligible to be a nominee by any shareholder for election as a director of the Company at a meeting of shareholders, the proposed nominee must provide to the secretary, in accordance with the applicable time periods prescribed for delivery of notice under </w:t>
      </w:r>
      <w:r>
        <w:rPr>
          <w:rFonts w:ascii="Adelle Sans;sans-serif" w:hAnsi="Adelle Sans;sans-serif"/>
          <w:b/>
          <w:color w:val="000000"/>
          <w:sz w:val="20"/>
        </w:rPr>
        <w:t xml:space="preserve">Section 1.4(i)(b) </w:t>
      </w:r>
      <w:r>
        <w:rPr>
          <w:rFonts w:ascii="Adelle Sans;sans-serif" w:hAnsi="Adelle Sans;sans-serif"/>
          <w:b w:val="false"/>
          <w:color w:val="000000"/>
          <w:sz w:val="20"/>
        </w:rPr>
        <w:t xml:space="preserve">or </w:t>
      </w:r>
      <w:r>
        <w:rPr>
          <w:rFonts w:ascii="Adelle Sans;sans-serif" w:hAnsi="Adelle Sans;sans-serif"/>
          <w:b/>
          <w:color w:val="000000"/>
          <w:sz w:val="20"/>
        </w:rPr>
        <w:t>Section 1.4(i)</w:t>
      </w:r>
      <w:r>
        <w:rPr>
          <w:rFonts w:ascii="Adelle Sans;sans-serif" w:hAnsi="Adelle Sans;sans-serif"/>
          <w:b w:val="false"/>
          <w:color w:val="000000"/>
          <w:sz w:val="20"/>
        </w:rPr>
        <w:t>:</w:t>
      </w:r>
    </w:p>
    <w:p>
      <w:pPr>
        <w:pStyle w:val="TextBody"/>
        <w:bidi w:val="0"/>
        <w:spacing w:lineRule="auto" w:line="288" w:before="0" w:after="120"/>
        <w:ind w:left="0" w:right="0" w:firstLine="2160"/>
        <w:jc w:val="both"/>
        <w:rPr>
          <w:rFonts w:ascii="Adelle Sans;sans-serif" w:hAnsi="Adelle Sans;sans-serif"/>
          <w:b w:val="false"/>
          <w:color w:val="000000"/>
          <w:sz w:val="20"/>
        </w:rPr>
      </w:pPr>
      <w:r>
        <w:rPr>
          <w:rFonts w:ascii="Adelle Sans;sans-serif" w:hAnsi="Adelle Sans;sans-serif"/>
          <w:b w:val="false"/>
          <w:color w:val="000000"/>
          <w:sz w:val="20"/>
        </w:rPr>
        <w:t>(1) a signed and completed written questionnaire (in the form provided by the secretary at the written request of the nominating shareholder,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pStyle w:val="TextBody"/>
        <w:bidi w:val="0"/>
        <w:spacing w:lineRule="auto" w:line="288" w:before="0" w:after="120"/>
        <w:ind w:left="0" w:right="0" w:firstLine="2160"/>
        <w:jc w:val="both"/>
        <w:rPr>
          <w:rFonts w:ascii="Adelle Sans;sans-serif" w:hAnsi="Adelle Sans;sans-serif"/>
          <w:b w:val="false"/>
          <w:color w:val="000000"/>
          <w:sz w:val="20"/>
        </w:rPr>
      </w:pPr>
      <w:r>
        <w:rPr>
          <w:rFonts w:ascii="Adelle Sans;sans-serif" w:hAnsi="Adelle Sans;sans-serif"/>
          <w:b w:val="false"/>
          <w:color w:val="000000"/>
          <w:sz w:val="20"/>
        </w:rPr>
        <w:t>(2) 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pStyle w:val="TextBody"/>
        <w:bidi w:val="0"/>
        <w:spacing w:lineRule="auto" w:line="288" w:before="0" w:after="120"/>
        <w:ind w:left="0" w:right="0" w:firstLine="2160"/>
        <w:jc w:val="both"/>
        <w:rPr>
          <w:rFonts w:ascii="Adelle Sans;sans-serif" w:hAnsi="Adelle Sans;sans-serif"/>
          <w:b w:val="false"/>
          <w:color w:val="000000"/>
          <w:sz w:val="20"/>
        </w:rPr>
      </w:pPr>
      <w:r>
        <w:rPr>
          <w:rFonts w:ascii="Adelle Sans;sans-serif" w:hAnsi="Adelle Sans;sans-serif"/>
          <w:b w:val="false"/>
          <w:color w:val="000000"/>
          <w:sz w:val="20"/>
        </w:rPr>
        <w:t>(3) a written representation and undertaking that, unless previously disclosed to the Company, such nominee is not, and will not become, a party to any Third-Party Compensation Arrangement;</w:t>
      </w:r>
    </w:p>
    <w:p>
      <w:pPr>
        <w:pStyle w:val="TextBody"/>
        <w:bidi w:val="0"/>
        <w:spacing w:lineRule="auto" w:line="288" w:before="0" w:after="120"/>
        <w:ind w:left="0" w:right="0" w:firstLine="2160"/>
        <w:jc w:val="both"/>
        <w:rPr>
          <w:rFonts w:ascii="Adelle Sans;sans-serif" w:hAnsi="Adelle Sans;sans-serif"/>
          <w:b w:val="false"/>
          <w:color w:val="000000"/>
          <w:sz w:val="20"/>
        </w:rPr>
      </w:pPr>
      <w:r>
        <w:rPr>
          <w:rFonts w:ascii="Adelle Sans;sans-serif" w:hAnsi="Adelle Sans;sans-serif"/>
          <w:b w:val="false"/>
          <w:color w:val="000000"/>
          <w:sz w:val="20"/>
        </w:rPr>
        <w:t>(4) a written representation and undertaking that, if elected as a director, such nominee would be in compliance, and will continue to comply, with the Company’s corporate governance guidelines as disclosed on the Company’s website, as amended from time to time; and</w:t>
      </w:r>
    </w:p>
    <w:p>
      <w:pPr>
        <w:pStyle w:val="TextBody"/>
        <w:bidi w:val="0"/>
        <w:spacing w:lineRule="auto" w:line="288" w:before="0" w:after="120"/>
        <w:ind w:left="0" w:right="0" w:firstLine="2160"/>
        <w:jc w:val="both"/>
        <w:rPr>
          <w:rFonts w:ascii="Adelle Sans;sans-serif" w:hAnsi="Adelle Sans;sans-serif"/>
          <w:b w:val="false"/>
          <w:color w:val="000000"/>
          <w:sz w:val="20"/>
        </w:rPr>
      </w:pPr>
      <w:r>
        <w:rPr>
          <w:rFonts w:ascii="Adelle Sans;sans-serif" w:hAnsi="Adelle Sans;sans-serif"/>
          <w:b w:val="false"/>
          <w:color w:val="000000"/>
          <w:sz w:val="20"/>
        </w:rPr>
        <w:t>(5) a written representation and undertaking that such nominee, if elected, intends to serve a full term on the Board.</w:t>
      </w:r>
    </w:p>
    <w:p>
      <w:pPr>
        <w:pStyle w:val="TextBody"/>
        <w:bidi w:val="0"/>
        <w:spacing w:lineRule="auto" w:line="288" w:before="0" w:after="120"/>
        <w:ind w:left="0" w:right="0" w:firstLine="1800"/>
        <w:jc w:val="both"/>
        <w:rPr>
          <w:rFonts w:ascii="Adelle Sans;sans-serif" w:hAnsi="Adelle Sans;sans-serif"/>
          <w:b w:val="false"/>
          <w:color w:val="000000"/>
          <w:sz w:val="20"/>
        </w:rPr>
      </w:pPr>
      <w:r>
        <w:rPr>
          <w:rFonts w:ascii="Adelle Sans;sans-serif" w:hAnsi="Adelle Sans;sans-serif"/>
          <w:b w:val="false"/>
          <w:color w:val="000000"/>
          <w:sz w:val="20"/>
        </w:rPr>
        <w:t>(b) At the request of the Board, any person nominated by the Board for election as a director must furnish to the secretary the information that is required to be set forth in a shareholder’s notice of nomination that pertains to such nominee.</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1800"/>
        <w:jc w:val="both"/>
        <w:rPr/>
      </w:pPr>
      <w:r>
        <w:rPr>
          <w:rFonts w:ascii="Adelle Sans;sans-serif" w:hAnsi="Adelle Sans;sans-serif"/>
          <w:b w:val="false"/>
          <w:color w:val="000000"/>
          <w:sz w:val="20"/>
        </w:rPr>
        <w:t xml:space="preserve">(c) No person will be eligible to be nominated by a shareholder for election as a director of the Company unless nominated in accordance with the procedures set forth in this </w:t>
      </w:r>
      <w:r>
        <w:rPr>
          <w:rFonts w:ascii="Adelle Sans;sans-serif" w:hAnsi="Adelle Sans;sans-serif"/>
          <w:b/>
          <w:color w:val="000000"/>
          <w:sz w:val="20"/>
        </w:rPr>
        <w:t>Section 1.4</w:t>
      </w:r>
      <w:r>
        <w:rPr>
          <w:rFonts w:ascii="Adelle Sans;sans-serif" w:hAnsi="Adelle Sans;sans-serif"/>
          <w:b w:val="false"/>
          <w:color w:val="000000"/>
          <w:sz w:val="20"/>
        </w:rPr>
        <w:t xml:space="preserve">. No business proposed by a shareholder will be conducted at a shareholder meeting except in accordance with this </w:t>
      </w:r>
      <w:r>
        <w:rPr>
          <w:rFonts w:ascii="Adelle Sans;sans-serif" w:hAnsi="Adelle Sans;sans-serif"/>
          <w:b/>
          <w:color w:val="000000"/>
          <w:sz w:val="20"/>
        </w:rPr>
        <w:t>Section 1.4</w:t>
      </w:r>
      <w:r>
        <w:rPr>
          <w:rFonts w:ascii="Adelle Sans;sans-serif" w:hAnsi="Adelle Sans;sans-serif"/>
          <w:b w:val="false"/>
          <w:color w:val="000000"/>
          <w:sz w:val="20"/>
        </w:rPr>
        <w:t>.</w:t>
      </w:r>
    </w:p>
    <w:p>
      <w:pPr>
        <w:pStyle w:val="TextBody"/>
        <w:bidi w:val="0"/>
        <w:spacing w:lineRule="auto" w:line="288" w:before="0" w:after="120"/>
        <w:ind w:left="0" w:right="0" w:firstLine="1800"/>
        <w:jc w:val="both"/>
        <w:rPr>
          <w:rFonts w:ascii="Adelle Sans;sans-serif" w:hAnsi="Adelle Sans;sans-serif"/>
          <w:b w:val="false"/>
          <w:color w:val="000000"/>
          <w:sz w:val="20"/>
        </w:rPr>
      </w:pPr>
      <w:r>
        <w:rPr>
          <w:rFonts w:ascii="Adelle Sans;sans-serif" w:hAnsi="Adelle Sans;sans-serif"/>
          <w:b w:val="false"/>
          <w:color w:val="000000"/>
          <w:sz w:val="20"/>
        </w:rPr>
        <w:t>(d) The chairperson of the applicable meeting of shareholders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pStyle w:val="TextBody"/>
        <w:bidi w:val="0"/>
        <w:spacing w:lineRule="auto" w:line="288" w:before="0" w:after="120"/>
        <w:ind w:left="0" w:right="0" w:firstLine="1800"/>
        <w:jc w:val="both"/>
        <w:rPr/>
      </w:pPr>
      <w:r>
        <w:rPr>
          <w:rFonts w:ascii="Adelle Sans;sans-serif" w:hAnsi="Adelle Sans;sans-serif"/>
          <w:b w:val="false"/>
          <w:color w:val="000000"/>
          <w:sz w:val="20"/>
        </w:rPr>
        <w:t xml:space="preserve">(e) Notwithstanding anything to the contrary in this </w:t>
      </w:r>
      <w:r>
        <w:rPr>
          <w:rFonts w:ascii="Adelle Sans;sans-serif" w:hAnsi="Adelle Sans;sans-serif"/>
          <w:b/>
          <w:color w:val="000000"/>
          <w:sz w:val="20"/>
        </w:rPr>
        <w:t>Section 1.4</w:t>
      </w:r>
      <w:r>
        <w:rPr>
          <w:rFonts w:ascii="Adelle Sans;sans-serif" w:hAnsi="Adelle Sans;sans-serif"/>
          <w:b w:val="false"/>
          <w:color w:val="000000"/>
          <w:sz w:val="20"/>
        </w:rPr>
        <w:t xml:space="preserve">, unless otherwise required by law, if the shareholder (or a qualified representative of the shareholder)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w:t>
      </w:r>
      <w:r>
        <w:rPr>
          <w:rFonts w:ascii="Adelle Sans;sans-serif" w:hAnsi="Adelle Sans;sans-serif"/>
          <w:b/>
          <w:color w:val="000000"/>
          <w:sz w:val="20"/>
        </w:rPr>
        <w:t>Section 1.4</w:t>
      </w:r>
      <w:r>
        <w:rPr>
          <w:rFonts w:ascii="Adelle Sans;sans-serif" w:hAnsi="Adelle Sans;sans-serif"/>
          <w:b w:val="false"/>
          <w:color w:val="000000"/>
          <w:sz w:val="20"/>
        </w:rPr>
        <w:t>, (1)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and such person must produce such writing or electronic transmission, or a reliable reproduction of the writing or electronic transmission, at the meeting and (2) “principal executive offices” shall mean the address for the Company’s principal executive offices as set forth on the cover page of its most recent Annual Report on Form 10-K filed with the U.S. Securities and Exchange Commission, as such address may be updated by any subsequent report filed with the U.S. Securities and Exchange Commission or other public announcement by the Company.</w:t>
      </w:r>
    </w:p>
    <w:p>
      <w:pPr>
        <w:pStyle w:val="TextBody"/>
        <w:bidi w:val="0"/>
        <w:spacing w:lineRule="auto" w:line="288" w:before="0" w:after="120"/>
        <w:ind w:left="0" w:right="0" w:firstLine="1800"/>
        <w:jc w:val="both"/>
        <w:rPr/>
      </w:pPr>
      <w:r>
        <w:rPr>
          <w:rFonts w:ascii="Adelle Sans;sans-serif" w:hAnsi="Adelle Sans;sans-serif"/>
          <w:b w:val="false"/>
          <w:color w:val="000000"/>
          <w:sz w:val="20"/>
        </w:rPr>
        <w:t xml:space="preserve">(f) Without limiting this </w:t>
      </w:r>
      <w:r>
        <w:rPr>
          <w:rFonts w:ascii="Adelle Sans;sans-serif" w:hAnsi="Adelle Sans;sans-serif"/>
          <w:b/>
          <w:color w:val="000000"/>
          <w:sz w:val="20"/>
        </w:rPr>
        <w:t>Section 1.4</w:t>
      </w:r>
      <w:r>
        <w:rPr>
          <w:rFonts w:ascii="Adelle Sans;sans-serif" w:hAnsi="Adelle Sans;sans-serif"/>
          <w:b w:val="false"/>
          <w:color w:val="000000"/>
          <w:sz w:val="20"/>
        </w:rPr>
        <w:t xml:space="preserve">, a shareholder must also comply with all applicable requirements of the 1934 Act with respect to the matters set forth in this </w:t>
      </w:r>
      <w:r>
        <w:rPr>
          <w:rFonts w:ascii="Adelle Sans;sans-serif" w:hAnsi="Adelle Sans;sans-serif"/>
          <w:b/>
          <w:color w:val="000000"/>
          <w:sz w:val="20"/>
        </w:rPr>
        <w:t>Section 1.4</w:t>
      </w:r>
      <w:r>
        <w:rPr>
          <w:rFonts w:ascii="Adelle Sans;sans-serif" w:hAnsi="Adelle Sans;sans-serif"/>
          <w:b w:val="false"/>
          <w:color w:val="000000"/>
          <w:sz w:val="20"/>
        </w:rPr>
        <w:t xml:space="preserve">, it being understood that (1) any references in these bylaws to the 1934 Act are not intended to, and will not, limit any requirements applicable to nominations or proposals as to any other business to be considered pursuant to this </w:t>
      </w:r>
      <w:r>
        <w:rPr>
          <w:rFonts w:ascii="Adelle Sans;sans-serif" w:hAnsi="Adelle Sans;sans-serif"/>
          <w:b/>
          <w:color w:val="000000"/>
          <w:sz w:val="20"/>
        </w:rPr>
        <w:t>Section 1.4</w:t>
      </w:r>
      <w:r>
        <w:rPr>
          <w:rFonts w:ascii="Adelle Sans;sans-serif" w:hAnsi="Adelle Sans;sans-serif"/>
          <w:b w:val="false"/>
          <w:color w:val="000000"/>
          <w:sz w:val="20"/>
        </w:rPr>
        <w:t xml:space="preserve">; and (2) compliance with clause (4) of </w:t>
      </w:r>
      <w:r>
        <w:rPr>
          <w:rFonts w:ascii="Adelle Sans;sans-serif" w:hAnsi="Adelle Sans;sans-serif"/>
          <w:b/>
          <w:color w:val="000000"/>
          <w:sz w:val="20"/>
        </w:rPr>
        <w:t xml:space="preserve">Section 1.4(i)(a) </w:t>
      </w:r>
      <w:r>
        <w:rPr>
          <w:rFonts w:ascii="Adelle Sans;sans-serif" w:hAnsi="Adelle Sans;sans-serif"/>
          <w:b w:val="false"/>
          <w:color w:val="000000"/>
          <w:sz w:val="20"/>
        </w:rPr>
        <w:t xml:space="preserve">and with </w:t>
      </w:r>
      <w:r>
        <w:rPr>
          <w:rFonts w:ascii="Adelle Sans;sans-serif" w:hAnsi="Adelle Sans;sans-serif"/>
          <w:b/>
          <w:color w:val="000000"/>
          <w:sz w:val="20"/>
        </w:rPr>
        <w:t xml:space="preserve">Section 1.4(ii) </w:t>
      </w:r>
      <w:r>
        <w:rPr>
          <w:rFonts w:ascii="Adelle Sans;sans-serif" w:hAnsi="Adelle Sans;sans-serif"/>
          <w:b w:val="false"/>
          <w:color w:val="000000"/>
          <w:sz w:val="20"/>
        </w:rPr>
        <w:t xml:space="preserve">are the exclusive means for a shareholder to make nominations or submit other business (other than as provided in </w:t>
      </w:r>
      <w:r>
        <w:rPr>
          <w:rFonts w:ascii="Adelle Sans;sans-serif" w:hAnsi="Adelle Sans;sans-serif"/>
          <w:b/>
          <w:color w:val="000000"/>
          <w:sz w:val="20"/>
        </w:rPr>
        <w:t>Section 1.4(iii)(g)</w:t>
      </w:r>
      <w:r>
        <w:rPr>
          <w:rFonts w:ascii="Adelle Sans;sans-serif" w:hAnsi="Adelle Sans;sans-serif"/>
          <w:b w:val="false"/>
          <w:color w:val="000000"/>
          <w:sz w:val="20"/>
        </w:rPr>
        <w:t>).</w:t>
      </w:r>
    </w:p>
    <w:p>
      <w:pPr>
        <w:pStyle w:val="TextBody"/>
        <w:bidi w:val="0"/>
        <w:spacing w:lineRule="auto" w:line="288" w:before="0" w:after="120"/>
        <w:ind w:left="0" w:right="0" w:firstLine="1800"/>
        <w:jc w:val="both"/>
        <w:rPr/>
      </w:pPr>
      <w:r>
        <w:rPr>
          <w:rFonts w:ascii="Adelle Sans;sans-serif" w:hAnsi="Adelle Sans;sans-serif"/>
          <w:b w:val="false"/>
          <w:color w:val="000000"/>
          <w:sz w:val="20"/>
        </w:rPr>
        <w:t xml:space="preserve">(g) Notwithstanding anything to the contrary in this </w:t>
      </w:r>
      <w:r>
        <w:rPr>
          <w:rFonts w:ascii="Adelle Sans;sans-serif" w:hAnsi="Adelle Sans;sans-serif"/>
          <w:b/>
          <w:color w:val="000000"/>
          <w:sz w:val="20"/>
        </w:rPr>
        <w:t xml:space="preserve">Section </w:t>
      </w:r>
      <w:r>
        <w:rPr>
          <w:rFonts w:ascii="Adelle Sans;sans-serif" w:hAnsi="Adelle Sans;sans-serif"/>
          <w:b w:val="false"/>
          <w:color w:val="000000"/>
          <w:sz w:val="20"/>
        </w:rPr>
        <w:t xml:space="preserve">1.4, the notice requirements set forth in these bylaws with respect to the proposal of any business (other than nominations) pursuant to this </w:t>
      </w:r>
      <w:r>
        <w:rPr>
          <w:rFonts w:ascii="Adelle Sans;sans-serif" w:hAnsi="Adelle Sans;sans-serif"/>
          <w:b/>
          <w:color w:val="000000"/>
          <w:sz w:val="20"/>
        </w:rPr>
        <w:t xml:space="preserve">Section 1.4 </w:t>
      </w:r>
      <w:r>
        <w:rPr>
          <w:rFonts w:ascii="Adelle Sans;sans-serif" w:hAnsi="Adelle Sans;sans-serif"/>
          <w:b w:val="false"/>
          <w:color w:val="000000"/>
          <w:sz w:val="20"/>
        </w:rPr>
        <w:t>will be deemed to be satisfied by a shareholder if (1) such shareholder has submitted a proposal to the Company in compliance with Rule 14a-8 under the 1934 Act; and (2) such shareholder’s proposal has been included in a proxy statement that has been prepared by the Company to solicit proxies for the meeting of shareholders. Subject to Rule 14a-8 and other applicable rules and regulations under the 1934 Act, nothing in these bylaws will be construed to permit any shareholder, or give any shareholder the right, to include or have disseminated or described in the Company’s proxy statement any nomination of a director or any other business proposal.</w:t>
      </w:r>
    </w:p>
    <w:p>
      <w:pPr>
        <w:pStyle w:val="TextBody"/>
        <w:bidi w:val="0"/>
        <w:spacing w:lineRule="auto" w:line="288" w:before="0" w:after="120"/>
        <w:ind w:left="0" w:right="0" w:firstLine="720"/>
        <w:jc w:val="both"/>
        <w:rPr/>
      </w:pPr>
      <w:r>
        <w:rPr>
          <w:rFonts w:ascii="Adelle Sans;sans-serif" w:hAnsi="Adelle Sans;sans-serif"/>
          <w:b/>
          <w:i/>
          <w:color w:val="000000"/>
          <w:sz w:val="20"/>
        </w:rPr>
        <w:t>1.5 Notice of Shareholders’ Meetings</w:t>
      </w:r>
      <w:r>
        <w:rPr>
          <w:rFonts w:ascii="Adelle Sans;sans-serif" w:hAnsi="Adelle Sans;sans-serif"/>
          <w:b w:val="false"/>
          <w:color w:val="000000"/>
          <w:sz w:val="20"/>
        </w:rPr>
        <w:t>. Whenever shareholders are required or permitted to take any action at a meeting, a notice of the meeting in the form of a writing or electronic transmission shall be given which shall state the place, if any, date and hour of the meeting, the means of remote communications, if any, by which shareholders and proxy holders may be deemed to be present in person and vote at such meeting, the record date for determining the shareholders entitled to vote at the meeting, if such date is different from the record date for determining shareholders entitled to notice of the meeting, and, in the case of a special meeting, the purpose or purposes for which the meeting is called. Except as otherwise provided in the TBOC, the certificate of formation or these bylaws, the notice of any meeting of shareholders shall be given not less than 10 nor more than 60 days before the date of the meeting to each shareholder entitled to vote at such meeting as of the record date for determining the shareholders entitled to notice of the meeting.</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Notwithstanding the preceding paragraph, notice of a shareholder meeting regarding a “fundamental business transaction” (as defined in Section 1.002 of the TBOC) must be given to each shareholder of the Company not later than 21 days prior to such meeting, regardless of whether the shareholder is entitled to vote on the matter, in accordance with the TBOC.</w:t>
      </w:r>
    </w:p>
    <w:p>
      <w:pPr>
        <w:pStyle w:val="TextBody"/>
        <w:bidi w:val="0"/>
        <w:spacing w:lineRule="auto" w:line="288" w:before="0" w:after="120"/>
        <w:ind w:left="0" w:right="0" w:firstLine="720"/>
        <w:jc w:val="both"/>
        <w:rPr/>
      </w:pPr>
      <w:r>
        <w:rPr>
          <w:rFonts w:ascii="Adelle Sans;sans-serif" w:hAnsi="Adelle Sans;sans-serif"/>
          <w:b/>
          <w:i/>
          <w:color w:val="000000"/>
          <w:sz w:val="20"/>
        </w:rPr>
        <w:t>1.6 Quorum</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Except as otherwise provided by law, the certificate of formation or these bylaws, at each meeting of shareholders the presence in person or by proxy of the holders of shares of stock having a majority of the voting power which could be cast by the holders of all outstanding shares of stock entitled to vote at the meeting shall be necessary and sufficient to constitute a quorum. Where a separate vote by a class or series or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formation or these bylaws.</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If, however, such quorum is not present or represented at any meeting of the shareholders, then either (i) the chairperson of the meeting, or (ii) the shareholders entitled to vote at the meeting, present in person or represented by proxy, shall have the power to adjourn the meeting from time to time, in accordance with </w:t>
      </w:r>
      <w:r>
        <w:rPr>
          <w:rFonts w:ascii="Adelle Sans;sans-serif" w:hAnsi="Adelle Sans;sans-serif"/>
          <w:b/>
          <w:color w:val="000000"/>
          <w:sz w:val="20"/>
        </w:rPr>
        <w:t xml:space="preserve">Section 1.7 </w:t>
      </w:r>
      <w:r>
        <w:rPr>
          <w:rFonts w:ascii="Adelle Sans;sans-serif" w:hAnsi="Adelle Sans;sans-serif"/>
          <w:b w:val="false"/>
          <w:color w:val="000000"/>
          <w:sz w:val="20"/>
        </w:rPr>
        <w:t>of these bylaws, until a quorum is present or represented.</w:t>
      </w:r>
    </w:p>
    <w:p>
      <w:pPr>
        <w:pStyle w:val="TextBody"/>
        <w:bidi w:val="0"/>
        <w:spacing w:lineRule="auto" w:line="288" w:before="0" w:after="120"/>
        <w:ind w:left="0" w:right="0" w:firstLine="720"/>
        <w:jc w:val="both"/>
        <w:rPr/>
      </w:pPr>
      <w:r>
        <w:rPr>
          <w:rFonts w:ascii="Adelle Sans;sans-serif" w:hAnsi="Adelle Sans;sans-serif"/>
          <w:b/>
          <w:i/>
          <w:color w:val="000000"/>
          <w:sz w:val="20"/>
        </w:rPr>
        <w:t>1.7 Adjourned Meeting; Notice</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Any meeting of shareholders, annual or special, may adjourn from time to time to reconvene at the same or some other place, and notice need not be given of the adjourned meeting if the time, place, if any, thereof, and the means of remote communications, if any, by which shareholders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provided, however, if the adjournment is for more than 30 days, a notice of the adjourned meeting shall be given to each shareholder of record entitled to vote at the meeting. If after the adjournment a new record date for shareholders entitled to vote is fixed for the adjourned meeting, the Board shall fix a new record date for notice of such adjourned meeting in accordance with Section 6.101 of the TBOC and </w:t>
      </w:r>
      <w:r>
        <w:rPr>
          <w:rFonts w:ascii="Adelle Sans;sans-serif" w:hAnsi="Adelle Sans;sans-serif"/>
          <w:b/>
          <w:color w:val="000000"/>
          <w:sz w:val="20"/>
        </w:rPr>
        <w:t xml:space="preserve">Section 1.11 </w:t>
      </w:r>
      <w:r>
        <w:rPr>
          <w:rFonts w:ascii="Adelle Sans;sans-serif" w:hAnsi="Adelle Sans;sans-serif"/>
          <w:b w:val="false"/>
          <w:color w:val="000000"/>
          <w:sz w:val="20"/>
        </w:rPr>
        <w:t>of these bylaws, and shall give notice of the adjourned meeting to each shareholder of record entitled to vote at such adjourned meeting as of the record date fixed for notice of such adjourned meeting.</w:t>
      </w:r>
    </w:p>
    <w:p>
      <w:pPr>
        <w:pStyle w:val="TextBody"/>
        <w:bidi w:val="0"/>
        <w:spacing w:lineRule="auto" w:line="288" w:before="0" w:after="120"/>
        <w:ind w:left="0" w:right="0" w:firstLine="720"/>
        <w:jc w:val="both"/>
        <w:rPr/>
      </w:pPr>
      <w:r>
        <w:rPr>
          <w:rFonts w:ascii="Adelle Sans;sans-serif" w:hAnsi="Adelle Sans;sans-serif"/>
          <w:b/>
          <w:i/>
          <w:color w:val="000000"/>
          <w:sz w:val="20"/>
        </w:rPr>
        <w:t>1.8 Conduct of Business</w:t>
      </w:r>
      <w:r>
        <w:rPr>
          <w:rFonts w:ascii="Adelle Sans;sans-serif" w:hAnsi="Adelle Sans;sans-serif"/>
          <w:b w:val="false"/>
          <w:color w:val="000000"/>
          <w:sz w:val="20"/>
        </w:rPr>
        <w:t>. Meetings of shareholders shall be presided over by a chairperson designated by the Board, or in the absence of such designation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chosen at the meeting. The Secretary shall act as secretary of the meeting, but in his or her absence the chairperson of the meeting may appoint any person to act as secretary of the meeting. The chairperson of any meeting of shareholders shall determine the order of business and the procedure at the meeting, including such regulation of the manner of voting and the conduct of business, and shall have the power to adjourn the meeting to another place, if any, date or time, whether or not a quorum is present.</w:t>
      </w:r>
    </w:p>
    <w:p>
      <w:pPr>
        <w:pStyle w:val="TextBody"/>
        <w:bidi w:val="0"/>
        <w:spacing w:lineRule="auto" w:line="288" w:before="0" w:after="120"/>
        <w:ind w:left="0" w:right="0" w:firstLine="720"/>
        <w:jc w:val="both"/>
        <w:rPr/>
      </w:pPr>
      <w:r>
        <w:rPr>
          <w:rFonts w:ascii="Adelle Sans;sans-serif" w:hAnsi="Adelle Sans;sans-serif"/>
          <w:b/>
          <w:i/>
          <w:color w:val="000000"/>
          <w:sz w:val="20"/>
        </w:rPr>
        <w:t>1.9 Voting</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The shareholders entitled to vote at any meeting of shareholders shall be determined in accordance with the provisions of </w:t>
      </w:r>
      <w:r>
        <w:rPr>
          <w:rFonts w:ascii="Adelle Sans;sans-serif" w:hAnsi="Adelle Sans;sans-serif"/>
          <w:b/>
          <w:color w:val="000000"/>
          <w:sz w:val="20"/>
        </w:rPr>
        <w:t xml:space="preserve">Section 1.11 </w:t>
      </w:r>
      <w:r>
        <w:rPr>
          <w:rFonts w:ascii="Adelle Sans;sans-serif" w:hAnsi="Adelle Sans;sans-serif"/>
          <w:b w:val="false"/>
          <w:color w:val="000000"/>
          <w:sz w:val="20"/>
        </w:rPr>
        <w:t>of these bylaws, subject to Sections 6.251 and 6.252 (relating to voting trusts and other voting agreements) and Subchapter D of Chapter 6 (relating to voting of ownership interests) of the TBOC.</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Each shareholder entitled to vote at any meeting of shareholders shall be entitled to the number of votes per share for each share of capital stock held by such shareholder as of the applicable record date which has voting power upon the matter in question as set forth in the certificate of formation. Voting at meetings of shareholders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w:t>
      </w:r>
      <w:r>
        <w:rPr>
          <w:rFonts w:ascii="Adelle Sans;sans-serif" w:hAnsi="Adelle Sans;sans-serif"/>
          <w:b w:val="false"/>
          <w:i/>
          <w:color w:val="000000"/>
          <w:sz w:val="20"/>
        </w:rPr>
        <w:t xml:space="preserve">provided </w:t>
      </w:r>
      <w:r>
        <w:rPr>
          <w:rFonts w:ascii="Adelle Sans;sans-serif" w:hAnsi="Adelle Sans;sans-serif"/>
          <w:b w:val="false"/>
          <w:color w:val="000000"/>
          <w:sz w:val="20"/>
        </w:rPr>
        <w:t>that any such electronic transmission must either set forth or be submitted with information from which it can be determined that the electronic transmission was authorized by the shareholder or proxy holder.</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 xml:space="preserve">Except as otherwise required by law, the certificate of formation or these bylaws, and subject to the rights, if any, of the holders of Preferred Stock, in all matters other than the election of directors, at a meeting where a quorum is present, where the number of shares that vote for the subject matter exceeds the number of shares that vote against the subject matter, without a separate class vote by the Common Stock or Preferred Stock, except as may be required by the TBOC, such vote shall be sufficient to approve, authorize, adopt, or to otherwise cause the Company to take, or affirm the Company’s taking of, any action. Except as otherwise required by law, the certificate of formation or these bylaws, directors shall be elected in the manner set forth in the certificate of formation. Where a separate vote by a class or series or classes or series is required, in all matters other than the election of directors and a “fundamental business transaction” as defined under the TBOC, the affirmative vote of the majority of the voting power of the shares of such class or series or classes or series present in person or represented by proxy at the meeting with quorum and entitled to vote on the subject matter shall be the act of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such class or series or classes or series, except as otherwise provided by law, the certificate of formation or these bylaws.</w:t>
      </w:r>
    </w:p>
    <w:p>
      <w:pPr>
        <w:pStyle w:val="TextBody"/>
        <w:bidi w:val="0"/>
        <w:spacing w:lineRule="auto" w:line="288" w:before="0" w:after="120"/>
        <w:ind w:left="0" w:right="0" w:firstLine="720"/>
        <w:jc w:val="both"/>
        <w:rPr/>
      </w:pPr>
      <w:r>
        <w:rPr>
          <w:rFonts w:ascii="Adelle Sans;sans-serif" w:hAnsi="Adelle Sans;sans-serif"/>
          <w:b/>
          <w:i/>
          <w:color w:val="000000"/>
          <w:sz w:val="20"/>
        </w:rPr>
        <w:t>1.10 Shareholder Action by Written Consent Without a Meeting</w:t>
      </w:r>
      <w:r>
        <w:rPr>
          <w:rFonts w:ascii="Adelle Sans;sans-serif" w:hAnsi="Adelle Sans;sans-serif"/>
          <w:b w:val="false"/>
          <w:i/>
          <w:color w:val="000000"/>
          <w:sz w:val="20"/>
        </w:rPr>
        <w:t xml:space="preserve">. </w:t>
      </w:r>
      <w:r>
        <w:rPr>
          <w:rFonts w:ascii="Adelle Sans;sans-serif" w:hAnsi="Adelle Sans;sans-serif"/>
          <w:b w:val="false"/>
          <w:color w:val="000000"/>
          <w:sz w:val="20"/>
        </w:rPr>
        <w:t>Any action required by the TBOC to be taken at any annual or special meeting of shareholders of the Company, or any action which may be taken at any annual or special meeting of such shareholders, may be taken by a written consent of the shareholders in the manner set forth in the certificate of formation.</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No written consent shall be effective to take the corporate action referred to therein unless written consents signed by a sufficient number of holders to take action are delivered to the Company in the manner required by Sections 6.201 and 6.202 of the TBOC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An electronic transmission consenting to an action to be taken and transmitted by a shareholder or proxy holder, or by a person or persons authorized to act for a shareholder or proxy holder, shall be deemed to be written and signed for purposes of this </w:t>
      </w:r>
      <w:r>
        <w:rPr>
          <w:rFonts w:ascii="Adelle Sans;sans-serif" w:hAnsi="Adelle Sans;sans-serif"/>
          <w:b/>
          <w:color w:val="000000"/>
          <w:sz w:val="20"/>
        </w:rPr>
        <w:t>Section 1.10</w:t>
      </w:r>
      <w:r>
        <w:rPr>
          <w:rFonts w:ascii="Adelle Sans;sans-serif" w:hAnsi="Adelle Sans;sans-serif"/>
          <w:b w:val="false"/>
          <w:color w:val="000000"/>
          <w:sz w:val="20"/>
        </w:rPr>
        <w:t xml:space="preserve">, </w:t>
      </w:r>
      <w:r>
        <w:rPr>
          <w:rFonts w:ascii="Adelle Sans;sans-serif" w:hAnsi="Adelle Sans;sans-serif"/>
          <w:b w:val="false"/>
          <w:i/>
          <w:color w:val="000000"/>
          <w:sz w:val="20"/>
        </w:rPr>
        <w:t xml:space="preserve">provided </w:t>
      </w:r>
      <w:r>
        <w:rPr>
          <w:rFonts w:ascii="Adelle Sans;sans-serif" w:hAnsi="Adelle Sans;sans-serif"/>
          <w:b w:val="false"/>
          <w:color w:val="000000"/>
          <w:sz w:val="20"/>
        </w:rPr>
        <w:t>that any such electronic transmission sets forth or is delivered with information from which the Company can determine (i) that the electronic transmission was transmitted by the shareholder or proxy holder or by a person or persons authorized to act for the shareholder or proxy holder and (ii) the date on which such shareholder or proxy holder or authorized person or persons transmitted such electronic transmission.</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A consent given by electronic transmission is delivered to the Company upon the earliest of (i) when the consent enters an information processing system, if any, designated by the Company for receiving consents, so long as the electronic transmission is in a form capable of being processed by that system and the Company is able to retrieve that electronic transmission; (ii) when a paper reproduction of the consent is delivered to the Company’s principal place of business or an officer or agent of the Company having custody of the book in which proceedings of meetings of shareholders are recorded; (iii) when a paper reproduction of the consent is delivered to the Company’s registered office in the State of Texas by hand or by certified or registered mail, return receipt requested; or (iv) when delivered in such other manner, if any, provided by resolution of the Board. A consent given by electronic transmission is delivered under this </w:t>
      </w:r>
      <w:r>
        <w:rPr>
          <w:rFonts w:ascii="Adelle Sans;sans-serif" w:hAnsi="Adelle Sans;sans-serif"/>
          <w:b/>
          <w:color w:val="000000"/>
          <w:sz w:val="20"/>
        </w:rPr>
        <w:t xml:space="preserve">Section 1.10 </w:t>
      </w:r>
      <w:r>
        <w:rPr>
          <w:rFonts w:ascii="Adelle Sans;sans-serif" w:hAnsi="Adelle Sans;sans-serif"/>
          <w:b w:val="false"/>
          <w:color w:val="000000"/>
          <w:sz w:val="20"/>
        </w:rPr>
        <w:t>even if no person is aware of its receipt. Receipt of an electronic acknowledgement from an information processing system establishes that a consent given by electronic transmission was received but, by itself, does not establish that the content sent corresponds to the content received.</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In the event that the Board shall have instructed the officers of the Company to solicit the vote or written consent of the shareholders of the Company, an electronic transmission of a shareholder written consent given pursuant to such solicitation, to be effective, must be delivered by electronic mail or facsimile telecommunications to the Secretary, the Chief Executive Officer or the President of the Company or to a person designated by the Company for receiving such consent, or delivered to an information processing system designated by the Company for receiving such consent.</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Prompt notice of the taking of the corporate action without a meeting by less than unanimous written consent shall be given to those shareholders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 as provided in Sections 6.201 or 6.202 of the TBOC. In the event that the action which is consented to is such as would have required the filing of a certificate under any provision of the TBOC, if such action had been voted on by shareholders at a meeting thereof, the certificate filed under such provision shall state, in lieu of any statement required by such provision concerning any vote of shareholders, that written consent has been given in accordance with Sections 6.201 or 6.202 of the TBOC.</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For the avoidance of doubt, the provisions of </w:t>
      </w:r>
      <w:r>
        <w:rPr>
          <w:rFonts w:ascii="Adelle Sans;sans-serif" w:hAnsi="Adelle Sans;sans-serif"/>
          <w:b/>
          <w:color w:val="000000"/>
          <w:sz w:val="20"/>
        </w:rPr>
        <w:t xml:space="preserve">Section 1.4 </w:t>
      </w:r>
      <w:r>
        <w:rPr>
          <w:rFonts w:ascii="Adelle Sans;sans-serif" w:hAnsi="Adelle Sans;sans-serif"/>
          <w:b w:val="false"/>
          <w:color w:val="000000"/>
          <w:sz w:val="20"/>
        </w:rPr>
        <w:t>concerning advance notice of shareholder business or the nomination or election of directors shall not apply to any action by shareholder written consent.</w:t>
      </w:r>
    </w:p>
    <w:p>
      <w:pPr>
        <w:pStyle w:val="TextBody"/>
        <w:bidi w:val="0"/>
        <w:spacing w:lineRule="auto" w:line="288" w:before="0" w:after="120"/>
        <w:ind w:left="0" w:right="0" w:firstLine="720"/>
        <w:jc w:val="both"/>
        <w:rPr/>
      </w:pPr>
      <w:r>
        <w:rPr>
          <w:rFonts w:ascii="Adelle Sans;sans-serif" w:hAnsi="Adelle Sans;sans-serif"/>
          <w:b/>
          <w:i/>
          <w:color w:val="000000"/>
          <w:sz w:val="20"/>
        </w:rPr>
        <w:t>1.11 Record Dates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In order that the Company may determine the shareholders entitled to notice of any meeting of shareholders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date shall also be the record date for determining the shareholders entitled to vote at such meeting unless the Board determines, at the time it fixes such record date, that a later date on or before the date of the meeting shall be the date for making such determination.</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If no record date is fixed by the Board, the record date for determining shareholders entitled to notice of and to vote at a meeting of shareholders shall be at the close of business on the day next preceding the day on which notice is given, or, if notice is waived, at the close of business on the day next preceding the day on which the meeting is held.</w:t>
      </w:r>
    </w:p>
    <w:p>
      <w:pPr>
        <w:pStyle w:val="TextBody"/>
        <w:bidi w:val="0"/>
        <w:spacing w:lineRule="auto" w:line="288" w:before="0" w:after="120"/>
        <w:ind w:left="0" w:right="0" w:firstLine="720"/>
        <w:jc w:val="both"/>
        <w:rPr/>
      </w:pPr>
      <w:r>
        <w:rPr>
          <w:rFonts w:ascii="Adelle Sans;sans-serif" w:hAnsi="Adelle Sans;sans-serif"/>
          <w:b w:val="false"/>
          <w:color w:val="000000"/>
          <w:sz w:val="20"/>
        </w:rPr>
        <w:t xml:space="preserve">A determination of shareholders of record entitled to notice of or to vote at a meeting of shareholders shall apply to any adjournment of the meeting; </w:t>
      </w:r>
      <w:r>
        <w:rPr>
          <w:rFonts w:ascii="Adelle Sans;sans-serif" w:hAnsi="Adelle Sans;sans-serif"/>
          <w:b w:val="false"/>
          <w:i/>
          <w:color w:val="000000"/>
          <w:sz w:val="20"/>
        </w:rPr>
        <w:t xml:space="preserve">provided, however, </w:t>
      </w:r>
      <w:r>
        <w:rPr>
          <w:rFonts w:ascii="Adelle Sans;sans-serif" w:hAnsi="Adelle Sans;sans-serif"/>
          <w:b w:val="false"/>
          <w:color w:val="000000"/>
          <w:sz w:val="20"/>
        </w:rPr>
        <w:t xml:space="preserve">that the Board may fix a new record date for determination of shareholders entitled to vote at the adjourned meeting, and in such case shall also fix as the record date for shareholders entitled to notice of such adjourned meeting the same or an earlier date as that fixed for determination of shareholders entitled to vote in accordance with the provisions of Section 6.101 of the TBOC and this </w:t>
      </w:r>
      <w:r>
        <w:rPr>
          <w:rFonts w:ascii="Adelle Sans;sans-serif" w:hAnsi="Adelle Sans;sans-serif"/>
          <w:b/>
          <w:color w:val="000000"/>
          <w:sz w:val="20"/>
        </w:rPr>
        <w:t xml:space="preserve">Section 1.11 </w:t>
      </w:r>
      <w:r>
        <w:rPr>
          <w:rFonts w:ascii="Adelle Sans;sans-serif" w:hAnsi="Adelle Sans;sans-serif"/>
          <w:b w:val="false"/>
          <w:color w:val="000000"/>
          <w:sz w:val="20"/>
        </w:rPr>
        <w:t>at the adjourned meeting.</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In order that the Company may determine the shareholders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shareholders entitled to consent to corporate action in writing without a meeting, when no prior action by the Board is required by law, shall be the first date on which a signed written consent setting forth the action taken or proposed to be taken is delivered to the Company in accordance with applicable law. If no record date has been fixed by the Board and prior action by the Board is required by law, the record date for determining shareholders entitled to consent to corporate action in writing without a meeting shall be at the close of business on the day on which the Board adopts the resolution taking such prior action.</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In order that the Company may determine the shareholders entitled to receive payment of any dividend or other distribution or allotment of any rights or the shareholders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shareholders for any such purpose shall be at the close of business on the day on which the Board adopts the resolution relating thereto.</w:t>
      </w:r>
    </w:p>
    <w:p>
      <w:pPr>
        <w:pStyle w:val="TextBody"/>
        <w:bidi w:val="0"/>
        <w:spacing w:lineRule="auto" w:line="288" w:before="0" w:after="120"/>
        <w:ind w:left="0" w:right="0" w:firstLine="720"/>
        <w:jc w:val="both"/>
        <w:rPr/>
      </w:pPr>
      <w:r>
        <w:rPr>
          <w:rFonts w:ascii="Adelle Sans;sans-serif" w:hAnsi="Adelle Sans;sans-serif"/>
          <w:b/>
          <w:i/>
          <w:color w:val="000000"/>
          <w:sz w:val="20"/>
        </w:rPr>
        <w:t>1.12 Proxies</w:t>
      </w:r>
      <w:r>
        <w:rPr>
          <w:rFonts w:ascii="Adelle Sans;sans-serif" w:hAnsi="Adelle Sans;sans-serif"/>
          <w:b w:val="false"/>
          <w:color w:val="000000"/>
          <w:sz w:val="20"/>
        </w:rPr>
        <w:t>. Each shareholder entitled to vote at a meeting of shareholders or to express consent or dissent to corporate action in writing without a meeting may authorize another person or persons to act for such shareholder by proxy authorized by a document or by an electronic transmission permitted by law filed in accordance with the procedure established for the meeting, but no such proxy shall be voted or acted upon after eleven (11) months from its date, unless the proxy provides for a longer period. The revocability of a proxy that states on its face that it is irrevocable shall be governed by the provisions of Sections 21.368, 21.369 and 21.370 of the TBOC.</w:t>
      </w:r>
    </w:p>
    <w:p>
      <w:pPr>
        <w:pStyle w:val="TextBody"/>
        <w:bidi w:val="0"/>
        <w:spacing w:lineRule="auto" w:line="288" w:before="0" w:after="120"/>
        <w:ind w:left="0" w:right="0" w:firstLine="720"/>
        <w:jc w:val="both"/>
        <w:rPr/>
      </w:pPr>
      <w:r>
        <w:rPr>
          <w:rFonts w:ascii="Adelle Sans;sans-serif" w:hAnsi="Adelle Sans;sans-serif"/>
          <w:b/>
          <w:i/>
          <w:color w:val="000000"/>
          <w:sz w:val="20"/>
        </w:rPr>
        <w:t>1.13 List of Shareholders Entitled to Vote</w:t>
      </w:r>
      <w:r>
        <w:rPr>
          <w:rFonts w:ascii="Adelle Sans;sans-serif" w:hAnsi="Adelle Sans;sans-serif"/>
          <w:b w:val="false"/>
          <w:color w:val="000000"/>
          <w:sz w:val="20"/>
        </w:rPr>
        <w:t xml:space="preserve">. Not later than the eleventh (11th) day before the date of each meeting of the shareholders of the Company, an officer or agent having charge of the Company’s stock transfer records shall prepare an alphabetical list of the shareholders entitled to vote at such meeting or any adjournment or postponement thereof showing the address and the type and number of shares held by each shareholder. Such list shall be kept on file at the registered office or the principal executive office of the Company and shall be subject to inspection by any shareholder at any time during regular business hours for a period of at least ten (10) days prior to such meeting. Alternatively, the list of shareholders may be kept on a reasonably accessible electronic network, if the information required to gain access to the list is provided with the notice of the meeting. In the event that the corporation determines to make the list available on an electronic network, the Company may take reasonable steps to ensure that such information is available only to shareholders of the corporation. The original share transfer records shall be </w:t>
      </w:r>
      <w:r>
        <w:rPr>
          <w:rFonts w:ascii="Adelle Sans;sans-serif" w:hAnsi="Adelle Sans;sans-serif"/>
          <w:b w:val="false"/>
          <w:i/>
          <w:color w:val="000000"/>
          <w:sz w:val="20"/>
        </w:rPr>
        <w:t xml:space="preserve">prima facie </w:t>
      </w:r>
      <w:r>
        <w:rPr>
          <w:rFonts w:ascii="Adelle Sans;sans-serif" w:hAnsi="Adelle Sans;sans-serif"/>
          <w:b w:val="false"/>
          <w:color w:val="000000"/>
          <w:sz w:val="20"/>
        </w:rPr>
        <w:t xml:space="preserve">evidence as to (a) the identity of the shareholders entitled to vote at any meeting of shareholders and the number of shares held by each of them and (b) the identity of the shareholders entitled by this </w:t>
      </w:r>
      <w:r>
        <w:rPr>
          <w:rFonts w:ascii="Adelle Sans;sans-serif" w:hAnsi="Adelle Sans;sans-serif"/>
          <w:b/>
          <w:color w:val="000000"/>
          <w:sz w:val="20"/>
        </w:rPr>
        <w:t xml:space="preserve">Section 1.13 </w:t>
      </w:r>
      <w:r>
        <w:rPr>
          <w:rFonts w:ascii="Adelle Sans;sans-serif" w:hAnsi="Adelle Sans;sans-serif"/>
          <w:b w:val="false"/>
          <w:color w:val="000000"/>
          <w:sz w:val="20"/>
        </w:rPr>
        <w:t xml:space="preserve">to examine the list required by this </w:t>
      </w:r>
      <w:r>
        <w:rPr>
          <w:rFonts w:ascii="Adelle Sans;sans-serif" w:hAnsi="Adelle Sans;sans-serif"/>
          <w:b/>
          <w:color w:val="000000"/>
          <w:sz w:val="20"/>
        </w:rPr>
        <w:t>Section 1.13</w:t>
      </w:r>
      <w:r>
        <w:rPr>
          <w:rFonts w:ascii="Adelle Sans;sans-serif" w:hAnsi="Adelle Sans;sans-serif"/>
          <w:b w:val="false"/>
          <w:color w:val="000000"/>
          <w:sz w:val="20"/>
        </w:rPr>
        <w:t>.</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ARTICLE II - DIRECTORS</w:t>
      </w:r>
    </w:p>
    <w:p>
      <w:pPr>
        <w:pStyle w:val="TextBody"/>
        <w:bidi w:val="0"/>
        <w:spacing w:lineRule="auto" w:line="288" w:before="0" w:after="120"/>
        <w:ind w:left="0" w:right="0" w:firstLine="720"/>
        <w:jc w:val="both"/>
        <w:rPr/>
      </w:pPr>
      <w:r>
        <w:rPr>
          <w:rFonts w:ascii="Adelle Sans;sans-serif" w:hAnsi="Adelle Sans;sans-serif"/>
          <w:b/>
          <w:i/>
          <w:color w:val="000000"/>
          <w:sz w:val="20"/>
        </w:rPr>
        <w:t>2.1 Powers</w:t>
      </w:r>
      <w:r>
        <w:rPr>
          <w:rFonts w:ascii="Adelle Sans;sans-serif" w:hAnsi="Adelle Sans;sans-serif"/>
          <w:b w:val="false"/>
          <w:color w:val="000000"/>
          <w:sz w:val="20"/>
        </w:rPr>
        <w:t>. The business and affairs of the Company shall be managed by or under the direction of the Board, except as may be otherwise provided in the TBOC or the certificate of 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both"/>
        <w:rPr/>
      </w:pPr>
      <w:r>
        <w:rPr>
          <w:rFonts w:ascii="Adelle Sans;sans-serif" w:hAnsi="Adelle Sans;sans-serif"/>
          <w:b/>
          <w:i/>
          <w:color w:val="000000"/>
          <w:sz w:val="20"/>
        </w:rPr>
        <w:t>2.2 Number of Directors</w:t>
      </w:r>
      <w:r>
        <w:rPr>
          <w:rFonts w:ascii="Adelle Sans;sans-serif" w:hAnsi="Adelle Sans;sans-serif"/>
          <w:b w:val="false"/>
          <w:color w:val="000000"/>
          <w:sz w:val="20"/>
        </w:rPr>
        <w:t>. The Board shall consist of one or more members, each of whom shall be a natural person. The number of directors shall be determined from time to time by resolution of the Board. No reduction of the authorized number of directors shall have the effect of removing any director before that director’s term of office expires.</w:t>
      </w:r>
    </w:p>
    <w:p>
      <w:pPr>
        <w:pStyle w:val="TextBody"/>
        <w:bidi w:val="0"/>
        <w:spacing w:lineRule="auto" w:line="288" w:before="0" w:after="120"/>
        <w:ind w:left="0" w:right="0" w:firstLine="720"/>
        <w:jc w:val="both"/>
        <w:rPr/>
      </w:pPr>
      <w:r>
        <w:rPr>
          <w:rFonts w:ascii="Adelle Sans;sans-serif" w:hAnsi="Adelle Sans;sans-serif"/>
          <w:b/>
          <w:i/>
          <w:color w:val="000000"/>
          <w:sz w:val="20"/>
        </w:rPr>
        <w:t>2.3 Election, Qualification and Term of Office of Directors</w:t>
      </w:r>
      <w:r>
        <w:rPr>
          <w:rFonts w:ascii="Adelle Sans;sans-serif" w:hAnsi="Adelle Sans;sans-serif"/>
          <w:b w:val="false"/>
          <w:color w:val="000000"/>
          <w:sz w:val="20"/>
        </w:rPr>
        <w:t xml:space="preserve">. Except as provided in </w:t>
      </w:r>
      <w:r>
        <w:rPr>
          <w:rFonts w:ascii="Adelle Sans;sans-serif" w:hAnsi="Adelle Sans;sans-serif"/>
          <w:b/>
          <w:color w:val="000000"/>
          <w:sz w:val="20"/>
        </w:rPr>
        <w:t xml:space="preserve">Section 2.4 </w:t>
      </w:r>
      <w:r>
        <w:rPr>
          <w:rFonts w:ascii="Adelle Sans;sans-serif" w:hAnsi="Adelle Sans;sans-serif"/>
          <w:b w:val="false"/>
          <w:color w:val="000000"/>
          <w:sz w:val="20"/>
        </w:rPr>
        <w:t xml:space="preserve">of these bylaws, and subject to </w:t>
      </w:r>
      <w:r>
        <w:rPr>
          <w:rFonts w:ascii="Adelle Sans;sans-serif" w:hAnsi="Adelle Sans;sans-serif"/>
          <w:b/>
          <w:color w:val="000000"/>
          <w:sz w:val="20"/>
        </w:rPr>
        <w:t xml:space="preserve">Sections 1.2 </w:t>
      </w:r>
      <w:r>
        <w:rPr>
          <w:rFonts w:ascii="Adelle Sans;sans-serif" w:hAnsi="Adelle Sans;sans-serif"/>
          <w:b w:val="false"/>
          <w:color w:val="000000"/>
          <w:sz w:val="20"/>
        </w:rPr>
        <w:t xml:space="preserve">and </w:t>
      </w:r>
      <w:r>
        <w:rPr>
          <w:rFonts w:ascii="Adelle Sans;sans-serif" w:hAnsi="Adelle Sans;sans-serif"/>
          <w:b/>
          <w:color w:val="000000"/>
          <w:sz w:val="20"/>
        </w:rPr>
        <w:t xml:space="preserve">1.10 </w:t>
      </w:r>
      <w:r>
        <w:rPr>
          <w:rFonts w:ascii="Adelle Sans;sans-serif" w:hAnsi="Adelle Sans;sans-serif"/>
          <w:b w:val="false"/>
          <w:color w:val="000000"/>
          <w:sz w:val="20"/>
        </w:rPr>
        <w:t>of these bylaws, directors shall be elected at each annual meeting of shareholders. Directors need not be shareholders unless so required by the certificate of formation or these bylaws. The certificate of formation or these bylaws may prescribe other qualifications for directors. Each director shall hold office until such director’s successor is elected and qualified or until such director’s earlier death, resignation or removal.</w:t>
      </w:r>
    </w:p>
    <w:p>
      <w:pPr>
        <w:pStyle w:val="TextBody"/>
        <w:bidi w:val="0"/>
        <w:spacing w:lineRule="auto" w:line="288" w:before="0" w:after="120"/>
        <w:ind w:left="0" w:right="0" w:firstLine="720"/>
        <w:jc w:val="both"/>
        <w:rPr/>
      </w:pPr>
      <w:r>
        <w:rPr>
          <w:rFonts w:ascii="Adelle Sans;sans-serif" w:hAnsi="Adelle Sans;sans-serif"/>
          <w:b/>
          <w:i/>
          <w:color w:val="000000"/>
          <w:sz w:val="20"/>
        </w:rPr>
        <w:t>2.4 Resignation and Vacancies</w:t>
      </w:r>
      <w:r>
        <w:rPr>
          <w:rFonts w:ascii="Adelle Sans;sans-serif" w:hAnsi="Adelle Sans;sans-serif"/>
          <w:b w:val="false"/>
          <w:color w:val="000000"/>
          <w:sz w:val="20"/>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formation or these bylaws, when one or more directors resign from the Board, effective at a future date, a majority of the directors then in office, shall have power to fill such vacancy or vacancies, the vote thereon to take effect when such resignation or resignations shall become effective.</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Unless otherwise provided in the certificate of formation, these bylaws or by the TBOC and subject to the rights of the holders of any one or more series of Preferred Stock then outstanding, newly created directorships resulting from any increase in the authorized number of directors or any vacancies in the Board shall be filled by a majority vote of the directors then in office, even if the remaining directors constitute less than a quorum of the Board, or by election at an annual or special meeting of shareholders called for that purpose.</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If at any time, by reason of death or resignation or other cause, the Company should have no directors in office, then any officer or any shareholder or an executor, administrator, trustee or guardian of a shareholder, or other fiduciary entrusted with like responsibility for the person or estate of a shareholder, may call a special meeting of shareholders in accordance with the provisions of the certificate of formation or these bylaws.</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A director elected to fill a vacancy shall be elected for the unexpired term of his or her predecessor in office and until such director’s successor is elected and qualified, or until such director’s earlier death, resignation or removal.</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Except as otherwise provided by the TBOC, during a period between two successive annual meetings of shareholders, the Board may not fill more than two vacancies created by an increase in the number of directors.</w:t>
      </w:r>
    </w:p>
    <w:p>
      <w:pPr>
        <w:pStyle w:val="TextBody"/>
        <w:bidi w:val="0"/>
        <w:spacing w:lineRule="auto" w:line="288" w:before="0" w:after="120"/>
        <w:ind w:left="0" w:right="0" w:firstLine="720"/>
        <w:jc w:val="both"/>
        <w:rPr/>
      </w:pPr>
      <w:r>
        <w:rPr>
          <w:rFonts w:ascii="Adelle Sans;sans-serif" w:hAnsi="Adelle Sans;sans-serif"/>
          <w:b/>
          <w:i/>
          <w:color w:val="000000"/>
          <w:sz w:val="20"/>
        </w:rPr>
        <w:t>2.5 Place of Meetings; Meetings by Telephone</w:t>
      </w:r>
      <w:r>
        <w:rPr>
          <w:rFonts w:ascii="Adelle Sans;sans-serif" w:hAnsi="Adelle Sans;sans-serif"/>
          <w:b w:val="false"/>
          <w:i/>
          <w:color w:val="000000"/>
          <w:sz w:val="20"/>
        </w:rPr>
        <w:t xml:space="preserve">. </w:t>
      </w:r>
      <w:r>
        <w:rPr>
          <w:rFonts w:ascii="Adelle Sans;sans-serif" w:hAnsi="Adelle Sans;sans-serif"/>
          <w:b w:val="false"/>
          <w:color w:val="000000"/>
          <w:sz w:val="20"/>
        </w:rPr>
        <w:t>The Board may hold meetings, both regular and special, either within or outside the State of Texas.</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Unless otherwise restricted by the certificate of formation or these bylaws, members of the Board, or any committee designated by the Board or any subcommittee, may participate in a meeting of the Board,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pStyle w:val="TextBody"/>
        <w:bidi w:val="0"/>
        <w:spacing w:lineRule="auto" w:line="288" w:before="0" w:after="120"/>
        <w:ind w:left="0" w:right="0" w:firstLine="720"/>
        <w:jc w:val="both"/>
        <w:rPr/>
      </w:pPr>
      <w:r>
        <w:rPr>
          <w:rFonts w:ascii="Adelle Sans;sans-serif" w:hAnsi="Adelle Sans;sans-serif"/>
          <w:b/>
          <w:i/>
          <w:color w:val="000000"/>
          <w:sz w:val="20"/>
        </w:rPr>
        <w:t>2.6 Conduct of Business</w:t>
      </w:r>
      <w:r>
        <w:rPr>
          <w:rFonts w:ascii="Adelle Sans;sans-serif" w:hAnsi="Adelle Sans;sans-serif"/>
          <w:b w:val="false"/>
          <w:color w:val="000000"/>
          <w:sz w:val="20"/>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pStyle w:val="TextBody"/>
        <w:bidi w:val="0"/>
        <w:spacing w:lineRule="auto" w:line="288" w:before="0" w:after="120"/>
        <w:ind w:left="0" w:right="0" w:firstLine="720"/>
        <w:jc w:val="both"/>
        <w:rPr/>
      </w:pPr>
      <w:r>
        <w:rPr>
          <w:rFonts w:ascii="Adelle Sans;sans-serif" w:hAnsi="Adelle Sans;sans-serif"/>
          <w:b/>
          <w:i/>
          <w:color w:val="000000"/>
          <w:sz w:val="20"/>
        </w:rPr>
        <w:t>2.7 Regular Meetings</w:t>
      </w:r>
      <w:r>
        <w:rPr>
          <w:rFonts w:ascii="Adelle Sans;sans-serif" w:hAnsi="Adelle Sans;sans-serif"/>
          <w:b w:val="false"/>
          <w:i/>
          <w:color w:val="000000"/>
          <w:sz w:val="20"/>
        </w:rPr>
        <w:t xml:space="preserve">. </w:t>
      </w:r>
      <w:r>
        <w:rPr>
          <w:rFonts w:ascii="Adelle Sans;sans-serif" w:hAnsi="Adelle Sans;sans-serif"/>
          <w:b w:val="false"/>
          <w:color w:val="000000"/>
          <w:sz w:val="20"/>
        </w:rPr>
        <w:t>Regular meetings of the Board may be held without notice at such time and at such place as shall from time to time be determined by the Board.</w:t>
      </w:r>
    </w:p>
    <w:p>
      <w:pPr>
        <w:pStyle w:val="TextBody"/>
        <w:bidi w:val="0"/>
        <w:spacing w:lineRule="auto" w:line="288" w:before="0" w:after="120"/>
        <w:ind w:left="0" w:right="0" w:firstLine="720"/>
        <w:jc w:val="both"/>
        <w:rPr/>
      </w:pPr>
      <w:r>
        <w:rPr>
          <w:rFonts w:ascii="Adelle Sans;sans-serif" w:hAnsi="Adelle Sans;sans-serif"/>
          <w:b/>
          <w:i/>
          <w:color w:val="000000"/>
          <w:sz w:val="20"/>
        </w:rPr>
        <w:t>2.8 Special Meetings; Notice</w:t>
      </w:r>
      <w:r>
        <w:rPr>
          <w:rFonts w:ascii="Adelle Sans;sans-serif" w:hAnsi="Adelle Sans;sans-serif"/>
          <w:b w:val="false"/>
          <w:i/>
          <w:color w:val="000000"/>
          <w:sz w:val="20"/>
        </w:rPr>
        <w:t xml:space="preserve">. </w:t>
      </w:r>
      <w:r>
        <w:rPr>
          <w:rFonts w:ascii="Adelle Sans;sans-serif" w:hAnsi="Adelle Sans;sans-serif"/>
          <w:b w:val="false"/>
          <w:color w:val="000000"/>
          <w:sz w:val="20"/>
        </w:rPr>
        <w:t>Special meetings of the Board for any purpose or purposes may be called at any time by the Chairperson of the Board, the Chief Executive Officer, the President, the Secretary or any two directors.</w:t>
      </w:r>
    </w:p>
    <w:p>
      <w:pPr>
        <w:pStyle w:val="TextBody"/>
        <w:bidi w:val="0"/>
        <w:spacing w:lineRule="auto" w:line="288" w:before="0" w:after="120"/>
        <w:ind w:left="0" w:right="0" w:firstLine="720"/>
        <w:jc w:val="both"/>
        <w:rPr/>
      </w:pPr>
      <w:r>
        <w:rPr>
          <w:rFonts w:ascii="Adelle Sans;sans-serif" w:hAnsi="Adelle Sans;sans-serif"/>
          <w:b w:val="false"/>
          <w:color w:val="000000"/>
          <w:sz w:val="20"/>
        </w:rPr>
        <w:t>Notice of the time and place of special meetings shall be:</w:t>
      </w:r>
      <w:r>
        <w:rPr>
          <w:color w:val="0000FF"/>
        </w:rPr>
        <w:t xml:space="preserve"> </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(i) delivered personally by hand, by courier or by telephone;</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(ii) sent by United States first-class mail, postage prepaid; or</w:t>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(iii) given by electronic transmission, directed to each director at that director’s address or telephone number, or by means of electronic transmission, as the case may be, as shown on the Company’s records.</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If the notice is delivered personally by hand, by courier, or by telephone, or given by means of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to the fullest extent permitted by applicable law.</w:t>
      </w:r>
    </w:p>
    <w:p>
      <w:pPr>
        <w:pStyle w:val="TextBody"/>
        <w:bidi w:val="0"/>
        <w:spacing w:lineRule="auto" w:line="288" w:before="0" w:after="120"/>
        <w:ind w:left="0" w:right="0" w:firstLine="720"/>
        <w:jc w:val="both"/>
        <w:rPr/>
      </w:pPr>
      <w:r>
        <w:rPr>
          <w:rFonts w:ascii="Adelle Sans;sans-serif" w:hAnsi="Adelle Sans;sans-serif"/>
          <w:b/>
          <w:i/>
          <w:color w:val="000000"/>
          <w:sz w:val="20"/>
        </w:rPr>
        <w:t>2.9 Quorum; Voting</w:t>
      </w:r>
      <w:r>
        <w:rPr>
          <w:rFonts w:ascii="Adelle Sans;sans-serif" w:hAnsi="Adelle Sans;sans-serif"/>
          <w:b w:val="false"/>
          <w:color w:val="000000"/>
          <w:sz w:val="20"/>
        </w:rPr>
        <w:t>. At all meetings of the Board, the presence of at least a majority of the total authorized directorships shall constitute a quorum for the transaction of business. If a quorum is not present at any meeting of the Board, then the directors present thereat may adjourn the meeting from time to time, without notice other than announcement at the meeting, until a quorum is present.</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The affirmative vote of a majority of the directors present at any meeting at which a quorum is present shall be the act of the Board, except as may be otherwise specifically provided by statute, the certificate of formation or these bylaws.</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If the certificate of formation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pStyle w:val="TextBody"/>
        <w:bidi w:val="0"/>
        <w:spacing w:lineRule="auto" w:line="288" w:before="0" w:after="120"/>
        <w:ind w:left="0" w:right="0" w:firstLine="720"/>
        <w:jc w:val="both"/>
        <w:rPr/>
      </w:pPr>
      <w:r>
        <w:rPr>
          <w:rFonts w:ascii="Adelle Sans;sans-serif" w:hAnsi="Adelle Sans;sans-serif"/>
          <w:b/>
          <w:i/>
          <w:color w:val="000000"/>
          <w:sz w:val="20"/>
        </w:rPr>
        <w:t>2.10 Board Action by Written Consent Without a Meeting</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Unless otherwise restricted by the certificate of formation or these bylaws, any action required or permitted to be taken at any meeting of the Board, or of any committee or subcommittee thereof, may be taken without a meeting if all members of the Board or committee or subcommittee,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w:t>
      </w:r>
      <w:r>
        <w:rPr>
          <w:rFonts w:ascii="Adelle Sans;sans-serif" w:hAnsi="Adelle Sans;sans-serif"/>
          <w:b/>
          <w:color w:val="000000"/>
          <w:sz w:val="20"/>
        </w:rPr>
        <w:t xml:space="preserve">Section 2.10 </w:t>
      </w:r>
      <w:r>
        <w:rPr>
          <w:rFonts w:ascii="Adelle Sans;sans-serif" w:hAnsi="Adelle Sans;sans-serif"/>
          <w:b w:val="false"/>
          <w:color w:val="000000"/>
          <w:sz w:val="20"/>
        </w:rPr>
        <w:t>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or the committee or subcommittee thereof, in the same paper or electronic form as the minutes are maintained.</w:t>
      </w:r>
    </w:p>
    <w:p>
      <w:pPr>
        <w:pStyle w:val="TextBody"/>
        <w:bidi w:val="0"/>
        <w:spacing w:lineRule="auto" w:line="288" w:before="0" w:after="120"/>
        <w:ind w:left="0" w:right="0" w:firstLine="720"/>
        <w:jc w:val="both"/>
        <w:rPr/>
      </w:pPr>
      <w:r>
        <w:rPr>
          <w:rFonts w:ascii="Adelle Sans;sans-serif" w:hAnsi="Adelle Sans;sans-serif"/>
          <w:b/>
          <w:i/>
          <w:color w:val="000000"/>
          <w:sz w:val="20"/>
        </w:rPr>
        <w:t>2.11 Fees and Compensation of Directors</w:t>
      </w:r>
      <w:r>
        <w:rPr>
          <w:rFonts w:ascii="Adelle Sans;sans-serif" w:hAnsi="Adelle Sans;sans-serif"/>
          <w:b w:val="false"/>
          <w:color w:val="000000"/>
          <w:sz w:val="20"/>
        </w:rPr>
        <w:t>. Unless otherwise restricted by the certificate of formation or these bylaws, the Board shall have the authority to fix the compensation of directors.</w:t>
      </w:r>
    </w:p>
    <w:p>
      <w:pPr>
        <w:pStyle w:val="TextBody"/>
        <w:bidi w:val="0"/>
        <w:spacing w:lineRule="auto" w:line="288" w:before="0" w:after="120"/>
        <w:ind w:left="0" w:right="0" w:firstLine="720"/>
        <w:jc w:val="both"/>
        <w:rPr/>
      </w:pPr>
      <w:r>
        <w:rPr>
          <w:rFonts w:ascii="Adelle Sans;sans-serif" w:hAnsi="Adelle Sans;sans-serif"/>
          <w:b/>
          <w:i/>
          <w:color w:val="000000"/>
          <w:sz w:val="20"/>
        </w:rPr>
        <w:t>2.12 Removal of Directors</w:t>
      </w:r>
      <w:r>
        <w:rPr>
          <w:rFonts w:ascii="Adelle Sans;sans-serif" w:hAnsi="Adelle Sans;sans-serif"/>
          <w:b w:val="false"/>
          <w:color w:val="000000"/>
          <w:sz w:val="20"/>
        </w:rPr>
        <w:t>. Subject to the rights of the holders of any one or more series of Preferred Stock then outstanding, any director or the entire Board may be removed, with or without cause, by the holders of a majority of the voting power of the shares then entitled to vote at an election of directors.</w:t>
      </w:r>
    </w:p>
    <w:p>
      <w:pPr>
        <w:pStyle w:val="TextBody"/>
        <w:bidi w:val="0"/>
        <w:spacing w:lineRule="auto" w:line="288" w:before="0" w:after="120"/>
        <w:ind w:left="0" w:right="0" w:firstLine="720"/>
        <w:jc w:val="left"/>
        <w:rPr>
          <w:rFonts w:ascii="Adelle Sans;sans-serif" w:hAnsi="Adelle Sans;sans-serif"/>
          <w:b w:val="false"/>
          <w:color w:val="000000"/>
          <w:sz w:val="20"/>
        </w:rPr>
      </w:pPr>
      <w:r>
        <w:rPr>
          <w:rFonts w:ascii="Adelle Sans;sans-serif" w:hAnsi="Adelle Sans;sans-serif"/>
          <w:b w:val="false"/>
          <w:color w:val="000000"/>
          <w:sz w:val="20"/>
        </w:rPr>
        <w:t>No reduction of the authorized number of directors shall have the effect of removing any director prior to the expiration of such director’s term of office.</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ARTICLE III - COMMITTEES</w:t>
      </w:r>
    </w:p>
    <w:p>
      <w:pPr>
        <w:pStyle w:val="TextBody"/>
        <w:bidi w:val="0"/>
        <w:spacing w:lineRule="auto" w:line="288" w:before="0" w:after="120"/>
        <w:ind w:left="0" w:right="0" w:firstLine="720"/>
        <w:jc w:val="both"/>
        <w:rPr/>
      </w:pPr>
      <w:r>
        <w:rPr>
          <w:rFonts w:ascii="Adelle Sans;sans-serif" w:hAnsi="Adelle Sans;sans-serif"/>
          <w:b/>
          <w:i/>
          <w:color w:val="000000"/>
          <w:sz w:val="20"/>
        </w:rPr>
        <w:t>3.1 Committees of Directors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amend the certificate of formation, except to (x) establish series of shares, (y) increase or decrease the number of shares in a series or (z) eliminate a series of shares as authorized by Section 21.155 of the TBOC, (ii) propose a reduction of stated capital under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Sections 21.253 and 21.254 of the TBOC, (iii) approve a plan of merger, share exchange, or conversion of the corporation, (iv) recommend to shareholders the sale, lease, or exchange of all or substantially all of the property and assets of the corporation not made in the usual and regular course of its business, (v) recommend to the shareholders a voluntary winding up and termination or a revocation of a voluntary winding up and termination, (vi) amend, alter, or repeal the bylaws or adopt new bylaws, (vii) fill vacancies on the Board, (viii) fill vacancies on or designate alternate members of a committee of the Board, (ix) fill a vacancy to be filled because of an increase in the number of directors, (x) elect or remove officers of the corporation or members or alternate members of a committee of the Board, (xi) set the compensation of the members or alternate members of a committee of the Board or (xii) alter or repeal a resolution of the Board that states that it may not be amended or repealed by a committee of the Board.</w:t>
      </w:r>
    </w:p>
    <w:p>
      <w:pPr>
        <w:pStyle w:val="TextBody"/>
        <w:bidi w:val="0"/>
        <w:spacing w:lineRule="auto" w:line="288" w:before="0" w:after="120"/>
        <w:ind w:left="0" w:right="0" w:firstLine="720"/>
        <w:jc w:val="both"/>
        <w:rPr/>
      </w:pPr>
      <w:r>
        <w:rPr>
          <w:rFonts w:ascii="Adelle Sans;sans-serif" w:hAnsi="Adelle Sans;sans-serif"/>
          <w:b/>
          <w:i/>
          <w:color w:val="000000"/>
          <w:sz w:val="20"/>
        </w:rPr>
        <w:t>3.2 Committee Minutes</w:t>
      </w:r>
      <w:r>
        <w:rPr>
          <w:rFonts w:ascii="Adelle Sans;sans-serif" w:hAnsi="Adelle Sans;sans-serif"/>
          <w:b w:val="false"/>
          <w:i/>
          <w:color w:val="000000"/>
          <w:sz w:val="20"/>
        </w:rPr>
        <w:t xml:space="preserve">. </w:t>
      </w:r>
      <w:r>
        <w:rPr>
          <w:rFonts w:ascii="Adelle Sans;sans-serif" w:hAnsi="Adelle Sans;sans-serif"/>
          <w:b w:val="false"/>
          <w:color w:val="000000"/>
          <w:sz w:val="20"/>
        </w:rPr>
        <w:t>Each committee and subcommittee shall keep regular minutes of its meetings and report the same to the Board, or the committee, when required.</w:t>
      </w:r>
    </w:p>
    <w:p>
      <w:pPr>
        <w:pStyle w:val="TextBody"/>
        <w:bidi w:val="0"/>
        <w:spacing w:lineRule="auto" w:line="288" w:before="0" w:after="120"/>
        <w:ind w:left="0" w:right="0" w:firstLine="720"/>
        <w:jc w:val="both"/>
        <w:rPr/>
      </w:pPr>
      <w:r>
        <w:rPr>
          <w:rFonts w:ascii="Adelle Sans;sans-serif" w:hAnsi="Adelle Sans;sans-serif"/>
          <w:b/>
          <w:i/>
          <w:color w:val="000000"/>
          <w:sz w:val="20"/>
        </w:rPr>
        <w:t>3.3 Meetings and Actions of Committees</w:t>
      </w:r>
      <w:r>
        <w:rPr>
          <w:rFonts w:ascii="Adelle Sans;sans-serif" w:hAnsi="Adelle Sans;sans-serif"/>
          <w:b w:val="false"/>
          <w:color w:val="000000"/>
          <w:sz w:val="20"/>
        </w:rPr>
        <w:t xml:space="preserve">. A majority of the directors then serving on a committee or subcommittee shall constitute a quorum for the transaction of business by the committee or subcommittee, unless the certificate of formation, these bylaws, a resolution of the Board or a resolution of a committee that created the subcommittee requires a greater or lesser number, </w:t>
      </w:r>
      <w:r>
        <w:rPr>
          <w:rFonts w:ascii="Adelle Sans;sans-serif" w:hAnsi="Adelle Sans;sans-serif"/>
          <w:b w:val="false"/>
          <w:i/>
          <w:color w:val="000000"/>
          <w:sz w:val="20"/>
        </w:rPr>
        <w:t xml:space="preserve">provided </w:t>
      </w:r>
      <w:r>
        <w:rPr>
          <w:rFonts w:ascii="Adelle Sans;sans-serif" w:hAnsi="Adelle Sans;sans-serif"/>
          <w:b w:val="false"/>
          <w:color w:val="000000"/>
          <w:sz w:val="20"/>
        </w:rPr>
        <w:t>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formation, these bylaws, a resolution of the Board or a resolution of a committee that created the subcommittee requires a greater number. Meetings and actions of committees and subcommittees shall otherwise be governed by, and held and taken in accordance with, the provisions of:</w:t>
      </w:r>
    </w:p>
    <w:p>
      <w:pPr>
        <w:pStyle w:val="TextBody"/>
        <w:bidi w:val="0"/>
        <w:spacing w:lineRule="auto" w:line="288" w:before="0" w:after="120"/>
        <w:jc w:val="both"/>
        <w:rPr/>
      </w:pPr>
      <w:r>
        <w:rPr>
          <w:rFonts w:ascii="Adelle Sans;sans-serif" w:hAnsi="Adelle Sans;sans-serif"/>
          <w:b/>
          <w:color w:val="000000"/>
          <w:sz w:val="20"/>
        </w:rPr>
        <w:t xml:space="preserve">(i) Section 2.5 </w:t>
      </w:r>
      <w:r>
        <w:rPr>
          <w:rFonts w:ascii="Adelle Sans;sans-serif" w:hAnsi="Adelle Sans;sans-serif"/>
          <w:b w:val="false"/>
          <w:color w:val="000000"/>
          <w:sz w:val="20"/>
        </w:rPr>
        <w:t>(Place of Meetings; Meetings by Telephone);</w:t>
      </w:r>
    </w:p>
    <w:p>
      <w:pPr>
        <w:pStyle w:val="TextBody"/>
        <w:bidi w:val="0"/>
        <w:spacing w:lineRule="auto" w:line="288" w:before="0" w:after="120"/>
        <w:jc w:val="both"/>
        <w:rPr/>
      </w:pPr>
      <w:r>
        <w:rPr>
          <w:rFonts w:ascii="Adelle Sans;sans-serif" w:hAnsi="Adelle Sans;sans-serif"/>
          <w:b/>
          <w:color w:val="000000"/>
          <w:sz w:val="20"/>
        </w:rPr>
        <w:t xml:space="preserve">(ii) Section 2.7 </w:t>
      </w:r>
      <w:r>
        <w:rPr>
          <w:rFonts w:ascii="Adelle Sans;sans-serif" w:hAnsi="Adelle Sans;sans-serif"/>
          <w:b w:val="false"/>
          <w:color w:val="000000"/>
          <w:sz w:val="20"/>
        </w:rPr>
        <w:t>(Regular Meetings);</w:t>
      </w:r>
    </w:p>
    <w:p>
      <w:pPr>
        <w:pStyle w:val="TextBody"/>
        <w:bidi w:val="0"/>
        <w:spacing w:lineRule="auto" w:line="288" w:before="0" w:after="120"/>
        <w:jc w:val="both"/>
        <w:rPr/>
      </w:pPr>
      <w:r>
        <w:rPr>
          <w:rFonts w:ascii="Adelle Sans;sans-serif" w:hAnsi="Adelle Sans;sans-serif"/>
          <w:b/>
          <w:color w:val="000000"/>
          <w:sz w:val="20"/>
        </w:rPr>
        <w:t xml:space="preserve">(iii) Section 2.8 </w:t>
      </w:r>
      <w:r>
        <w:rPr>
          <w:rFonts w:ascii="Adelle Sans;sans-serif" w:hAnsi="Adelle Sans;sans-serif"/>
          <w:b w:val="false"/>
          <w:color w:val="000000"/>
          <w:sz w:val="20"/>
        </w:rPr>
        <w:t>(Special Meetings; Notice);</w:t>
      </w:r>
    </w:p>
    <w:p>
      <w:pPr>
        <w:pStyle w:val="TextBody"/>
        <w:bidi w:val="0"/>
        <w:spacing w:lineRule="auto" w:line="288" w:before="0" w:after="120"/>
        <w:jc w:val="both"/>
        <w:rPr/>
      </w:pPr>
      <w:r>
        <w:rPr>
          <w:rFonts w:ascii="Adelle Sans;sans-serif" w:hAnsi="Adelle Sans;sans-serif"/>
          <w:b/>
          <w:color w:val="000000"/>
          <w:sz w:val="20"/>
        </w:rPr>
        <w:t xml:space="preserve">(iv) Section 2.9 </w:t>
      </w:r>
      <w:r>
        <w:rPr>
          <w:rFonts w:ascii="Adelle Sans;sans-serif" w:hAnsi="Adelle Sans;sans-serif"/>
          <w:b w:val="false"/>
          <w:color w:val="000000"/>
          <w:sz w:val="20"/>
        </w:rPr>
        <w:t>(Quorum; Voting);</w:t>
      </w:r>
    </w:p>
    <w:p>
      <w:pPr>
        <w:pStyle w:val="TextBody"/>
        <w:bidi w:val="0"/>
        <w:spacing w:lineRule="auto" w:line="288" w:before="0" w:after="120"/>
        <w:jc w:val="both"/>
        <w:rPr/>
      </w:pPr>
      <w:r>
        <w:rPr>
          <w:rFonts w:ascii="Adelle Sans;sans-serif" w:hAnsi="Adelle Sans;sans-serif"/>
          <w:b/>
          <w:color w:val="000000"/>
          <w:sz w:val="20"/>
        </w:rPr>
        <w:t xml:space="preserve">(v) Section 2.10 </w:t>
      </w:r>
      <w:r>
        <w:rPr>
          <w:rFonts w:ascii="Adelle Sans;sans-serif" w:hAnsi="Adelle Sans;sans-serif"/>
          <w:b w:val="false"/>
          <w:color w:val="000000"/>
          <w:sz w:val="20"/>
        </w:rPr>
        <w:t>(Board Action by Written Consent Without a Meeting); and</w:t>
      </w:r>
    </w:p>
    <w:p>
      <w:pPr>
        <w:pStyle w:val="TextBody"/>
        <w:bidi w:val="0"/>
        <w:spacing w:lineRule="auto" w:line="288" w:before="0" w:after="120"/>
        <w:jc w:val="both"/>
        <w:rPr/>
      </w:pPr>
      <w:r>
        <w:rPr>
          <w:rFonts w:ascii="Adelle Sans;sans-serif" w:hAnsi="Adelle Sans;sans-serif"/>
          <w:b/>
          <w:color w:val="000000"/>
          <w:sz w:val="20"/>
        </w:rPr>
        <w:t xml:space="preserve">(vi) Section 7.2 </w:t>
      </w:r>
      <w:r>
        <w:rPr>
          <w:rFonts w:ascii="Adelle Sans;sans-serif" w:hAnsi="Adelle Sans;sans-serif"/>
          <w:b w:val="false"/>
          <w:color w:val="000000"/>
          <w:sz w:val="20"/>
        </w:rPr>
        <w:t>(Waiver of Notice)</w:t>
      </w:r>
    </w:p>
    <w:p>
      <w:pPr>
        <w:pStyle w:val="TextBody"/>
        <w:bidi w:val="0"/>
        <w:spacing w:lineRule="auto" w:line="288" w:before="0" w:after="120"/>
        <w:jc w:val="both"/>
        <w:rPr/>
      </w:pPr>
      <w:r>
        <w:rPr>
          <w:rFonts w:ascii="Adelle Sans;sans-serif" w:hAnsi="Adelle Sans;sans-serif"/>
          <w:b w:val="false"/>
          <w:color w:val="000000"/>
          <w:sz w:val="20"/>
        </w:rPr>
        <w:t xml:space="preserve">with such changes in the context of those bylaws as are necessary to substitute the committee or subcommittee and its members for the Board and its members. </w:t>
      </w:r>
      <w:r>
        <w:rPr>
          <w:rFonts w:ascii="Adelle Sans;sans-serif" w:hAnsi="Adelle Sans;sans-serif"/>
          <w:b w:val="false"/>
          <w:i/>
          <w:color w:val="000000"/>
          <w:sz w:val="20"/>
        </w:rPr>
        <w:t>However</w:t>
      </w:r>
      <w:r>
        <w:rPr>
          <w:rFonts w:ascii="Adelle Sans;sans-serif" w:hAnsi="Adelle Sans;sans-serif"/>
          <w:b w:val="false"/>
          <w:color w:val="000000"/>
          <w:sz w:val="20"/>
        </w:rPr>
        <w:t>:</w:t>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(i) the time and place of regular meetings of committees and subcommittees may be determined either by resolution of the Board or by resolution of the committee or subcommittee;</w:t>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(ii) special meetings of committees and subcommittees may also be called by resolution of the Board or the committee or subcommittee; and</w:t>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(iii) notice of special meetings of committees and subcommittees shall also be given to all alternate members, as applicable, who shall have the right to attend all meetings of the committee or subcommittee. The Board, or, in the absence of any such action by the Board, the committee or subcommittee, may adopt rules for the government of any committee or subcommittee not inconsistent with the provisions of these bylaws.</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Any provision in the certificate of formation providing that one or more directors shall have more or less than one vote per director on any matter shall apply to voting in any committee or subcommittee, unless otherwise provided in the certificate of formation or these bylaws.</w:t>
      </w:r>
    </w:p>
    <w:p>
      <w:pPr>
        <w:pStyle w:val="TextBody"/>
        <w:bidi w:val="0"/>
        <w:spacing w:lineRule="auto" w:line="288" w:before="0" w:after="120"/>
        <w:ind w:left="0" w:right="0" w:firstLine="720"/>
        <w:jc w:val="both"/>
        <w:rPr/>
      </w:pPr>
      <w:r>
        <w:rPr>
          <w:rFonts w:ascii="Adelle Sans;sans-serif" w:hAnsi="Adelle Sans;sans-serif"/>
          <w:b/>
          <w:i/>
          <w:color w:val="000000"/>
          <w:sz w:val="20"/>
        </w:rPr>
        <w:t>3.4 Subcommittees</w:t>
      </w:r>
      <w:r>
        <w:rPr>
          <w:rFonts w:ascii="Adelle Sans;sans-serif" w:hAnsi="Adelle Sans;sans-serif"/>
          <w:b w:val="false"/>
          <w:color w:val="000000"/>
          <w:sz w:val="20"/>
        </w:rPr>
        <w:t>. Unless otherwise provided in the certificate of formation,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pStyle w:val="TextBody"/>
        <w:bidi w:val="0"/>
        <w:spacing w:lineRule="auto" w:line="288" w:before="0" w:after="120"/>
        <w:ind w:left="0" w:right="0" w:firstLine="720"/>
        <w:jc w:val="center"/>
        <w:rPr>
          <w:rFonts w:ascii="Adelle Sans;sans-serif" w:hAnsi="Adelle Sans;sans-serif"/>
          <w:b/>
          <w:color w:val="000000"/>
          <w:sz w:val="20"/>
        </w:rPr>
      </w:pPr>
      <w:r>
        <w:rPr>
          <w:rFonts w:ascii="Adelle Sans;sans-serif" w:hAnsi="Adelle Sans;sans-serif"/>
          <w:b/>
          <w:color w:val="000000"/>
          <w:sz w:val="20"/>
        </w:rPr>
        <w:t>ARTICLE IV - OFFICERS</w:t>
      </w:r>
    </w:p>
    <w:p>
      <w:pPr>
        <w:pStyle w:val="TextBody"/>
        <w:bidi w:val="0"/>
        <w:spacing w:lineRule="auto" w:line="288" w:before="0" w:after="120"/>
        <w:ind w:left="0" w:right="0" w:firstLine="720"/>
        <w:jc w:val="both"/>
        <w:rPr/>
      </w:pPr>
      <w:r>
        <w:rPr>
          <w:rFonts w:ascii="Adelle Sans;sans-serif" w:hAnsi="Adelle Sans;sans-serif"/>
          <w:b/>
          <w:i/>
          <w:color w:val="000000"/>
          <w:sz w:val="20"/>
        </w:rPr>
        <w:t>4.1 Officers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The officers of the Company shall be a Chief Executive Officer and a Secretary. The Company may also have, at the discretion of the Board, a Chairperson of the Board, a Vice Chairperson of the Board, one or more Vice Presidents, a Chief Financial Officer, Chief Operating Officer, a Treasurer, one or more Assistant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Treasurers, one or more Assistant Secretaries and any such other officers as may be appointed in accordance with the provisions of these bylaws. Any number of offices may be held by the same person.</w:t>
      </w:r>
    </w:p>
    <w:p>
      <w:pPr>
        <w:pStyle w:val="TextBody"/>
        <w:bidi w:val="0"/>
        <w:spacing w:lineRule="auto" w:line="288" w:before="0" w:after="120"/>
        <w:ind w:left="0" w:right="0" w:firstLine="720"/>
        <w:jc w:val="both"/>
        <w:rPr/>
      </w:pPr>
      <w:r>
        <w:rPr>
          <w:rFonts w:ascii="Adelle Sans;sans-serif" w:hAnsi="Adelle Sans;sans-serif"/>
          <w:b/>
          <w:i/>
          <w:color w:val="000000"/>
          <w:sz w:val="20"/>
        </w:rPr>
        <w:t>4.2 Appointment of Officers</w:t>
      </w:r>
      <w:r>
        <w:rPr>
          <w:rFonts w:ascii="Adelle Sans;sans-serif" w:hAnsi="Adelle Sans;sans-serif"/>
          <w:b w:val="false"/>
          <w:color w:val="000000"/>
          <w:sz w:val="20"/>
        </w:rPr>
        <w:t xml:space="preserve">. The Board shall appoint the officers of the Company, except such officers as may be appointed in accordance with the provisions of </w:t>
      </w:r>
      <w:r>
        <w:rPr>
          <w:rFonts w:ascii="Adelle Sans;sans-serif" w:hAnsi="Adelle Sans;sans-serif"/>
          <w:b/>
          <w:color w:val="000000"/>
          <w:sz w:val="20"/>
        </w:rPr>
        <w:t xml:space="preserve">Section 4.3 </w:t>
      </w:r>
      <w:r>
        <w:rPr>
          <w:rFonts w:ascii="Adelle Sans;sans-serif" w:hAnsi="Adelle Sans;sans-serif"/>
          <w:b w:val="false"/>
          <w:color w:val="000000"/>
          <w:sz w:val="20"/>
        </w:rPr>
        <w:t>of these bylaws.</w:t>
      </w:r>
    </w:p>
    <w:p>
      <w:pPr>
        <w:pStyle w:val="TextBody"/>
        <w:bidi w:val="0"/>
        <w:spacing w:lineRule="auto" w:line="288" w:before="0" w:after="120"/>
        <w:ind w:left="0" w:right="0" w:firstLine="720"/>
        <w:jc w:val="both"/>
        <w:rPr/>
      </w:pPr>
      <w:r>
        <w:rPr>
          <w:rFonts w:ascii="Adelle Sans;sans-serif" w:hAnsi="Adelle Sans;sans-serif"/>
          <w:b/>
          <w:i/>
          <w:color w:val="000000"/>
          <w:sz w:val="20"/>
        </w:rPr>
        <w:t>4.3 Subordinate Officers</w:t>
      </w:r>
      <w:r>
        <w:rPr>
          <w:rFonts w:ascii="Adelle Sans;sans-serif" w:hAnsi="Adelle Sans;sans-serif"/>
          <w:b w:val="false"/>
          <w:i/>
          <w:color w:val="000000"/>
          <w:sz w:val="20"/>
        </w:rPr>
        <w:t xml:space="preserve">. </w:t>
      </w:r>
      <w:r>
        <w:rPr>
          <w:rFonts w:ascii="Adelle Sans;sans-serif" w:hAnsi="Adelle Sans;sans-serif"/>
          <w:b w:val="false"/>
          <w:color w:val="000000"/>
          <w:sz w:val="20"/>
        </w:rPr>
        <w:t>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pStyle w:val="TextBody"/>
        <w:bidi w:val="0"/>
        <w:spacing w:lineRule="auto" w:line="288" w:before="0" w:after="120"/>
        <w:ind w:left="0" w:right="0" w:firstLine="720"/>
        <w:jc w:val="both"/>
        <w:rPr/>
      </w:pPr>
      <w:r>
        <w:rPr>
          <w:rFonts w:ascii="Adelle Sans;sans-serif" w:hAnsi="Adelle Sans;sans-serif"/>
          <w:b/>
          <w:i/>
          <w:color w:val="000000"/>
          <w:sz w:val="20"/>
        </w:rPr>
        <w:t>4.4 Removal and Resignation of Officers</w:t>
      </w:r>
      <w:r>
        <w:rPr>
          <w:rFonts w:ascii="Adelle Sans;sans-serif" w:hAnsi="Adelle Sans;sans-serif"/>
          <w:b w:val="false"/>
          <w:color w:val="000000"/>
          <w:sz w:val="20"/>
        </w:rPr>
        <w:t>. Any officer may be removed, either with or without cause, by the Board or, for the avoidance of doubt, any duly authorized committee or subcommittee thereof or by any officer upon whom such power of removal has been conferred by the Board or, for the avoidance of doubt, any duly authorized committee or subcommittee thereof.</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pStyle w:val="TextBody"/>
        <w:bidi w:val="0"/>
        <w:spacing w:lineRule="auto" w:line="288" w:before="0" w:after="120"/>
        <w:ind w:left="0" w:right="0" w:firstLine="720"/>
        <w:jc w:val="both"/>
        <w:rPr/>
      </w:pPr>
      <w:r>
        <w:rPr>
          <w:rFonts w:ascii="Adelle Sans;sans-serif" w:hAnsi="Adelle Sans;sans-serif"/>
          <w:b/>
          <w:i/>
          <w:color w:val="000000"/>
          <w:sz w:val="20"/>
        </w:rPr>
        <w:t>4.5 Vacancies in Offices</w:t>
      </w:r>
      <w:r>
        <w:rPr>
          <w:rFonts w:ascii="Adelle Sans;sans-serif" w:hAnsi="Adelle Sans;sans-serif"/>
          <w:b w:val="false"/>
          <w:color w:val="000000"/>
          <w:sz w:val="20"/>
        </w:rPr>
        <w:t xml:space="preserve">. Any vacancy occurring in any office of the Company shall be filled by the Board or as provided in </w:t>
      </w:r>
      <w:r>
        <w:rPr>
          <w:rFonts w:ascii="Adelle Sans;sans-serif" w:hAnsi="Adelle Sans;sans-serif"/>
          <w:b/>
          <w:color w:val="000000"/>
          <w:sz w:val="20"/>
        </w:rPr>
        <w:t xml:space="preserve">Section 4.3 </w:t>
      </w:r>
      <w:r>
        <w:rPr>
          <w:rFonts w:ascii="Adelle Sans;sans-serif" w:hAnsi="Adelle Sans;sans-serif"/>
          <w:b w:val="false"/>
          <w:color w:val="000000"/>
          <w:sz w:val="20"/>
        </w:rPr>
        <w:t>of these bylaws.</w:t>
      </w:r>
    </w:p>
    <w:p>
      <w:pPr>
        <w:pStyle w:val="TextBody"/>
        <w:bidi w:val="0"/>
        <w:spacing w:lineRule="auto" w:line="288" w:before="0" w:after="120"/>
        <w:ind w:left="0" w:right="0" w:firstLine="720"/>
        <w:jc w:val="both"/>
        <w:rPr/>
      </w:pPr>
      <w:r>
        <w:rPr>
          <w:rFonts w:ascii="Adelle Sans;sans-serif" w:hAnsi="Adelle Sans;sans-serif"/>
          <w:b/>
          <w:i/>
          <w:color w:val="000000"/>
          <w:sz w:val="20"/>
        </w:rPr>
        <w:t>4.6 Representation of Securities of Other Corporations or Entities</w:t>
      </w:r>
      <w:r>
        <w:rPr>
          <w:rFonts w:ascii="Adelle Sans;sans-serif" w:hAnsi="Adelle Sans;sans-serif"/>
          <w:b w:val="false"/>
          <w:color w:val="000000"/>
          <w:sz w:val="20"/>
        </w:rPr>
        <w:t>. Unless otherwise directed by the Board, the Chief Executive Officer or, in the absence of a Chief Executive Officer, the President or any other person authorized by the Board, the Chief Executive Officer or, in the absence of a Chief Executive Officer, the President is authorized to vote, represent and exercise on behalf of the Company all rights incident to any and all shares or other securities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in lieu of a meeting. The authority granted herein may be exercised either by such person directly or by any other person authorized to do so by proxy or power of attorney duly executed by such person having the authority.</w:t>
      </w:r>
    </w:p>
    <w:p>
      <w:pPr>
        <w:pStyle w:val="TextBody"/>
        <w:bidi w:val="0"/>
        <w:spacing w:lineRule="auto" w:line="288" w:before="0" w:after="120"/>
        <w:ind w:left="0" w:right="0" w:firstLine="720"/>
        <w:jc w:val="both"/>
        <w:rPr/>
      </w:pPr>
      <w:r>
        <w:rPr>
          <w:rFonts w:ascii="Adelle Sans;sans-serif" w:hAnsi="Adelle Sans;sans-serif"/>
          <w:b/>
          <w:i/>
          <w:color w:val="000000"/>
          <w:sz w:val="20"/>
        </w:rPr>
        <w:t>4.7 Authority and Duties of Officers</w:t>
      </w:r>
      <w:r>
        <w:rPr>
          <w:rFonts w:ascii="Adelle Sans;sans-serif" w:hAnsi="Adelle Sans;sans-serif"/>
          <w:b w:val="false"/>
          <w:color w:val="000000"/>
          <w:sz w:val="20"/>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pStyle w:val="TextBody"/>
        <w:bidi w:val="0"/>
        <w:spacing w:lineRule="auto" w:line="288" w:before="0" w:after="120"/>
        <w:ind w:left="0" w:right="0" w:firstLine="720"/>
        <w:jc w:val="center"/>
        <w:rPr>
          <w:rFonts w:ascii="Adelle Sans;sans-serif" w:hAnsi="Adelle Sans;sans-serif"/>
          <w:b/>
          <w:color w:val="000000"/>
          <w:sz w:val="20"/>
        </w:rPr>
      </w:pPr>
      <w:r>
        <w:rPr>
          <w:rFonts w:ascii="Adelle Sans;sans-serif" w:hAnsi="Adelle Sans;sans-serif"/>
          <w:b/>
          <w:color w:val="000000"/>
          <w:sz w:val="20"/>
        </w:rPr>
        <w:t>ARTICLE V - INDEMNIFICATION</w:t>
      </w:r>
    </w:p>
    <w:p>
      <w:pPr>
        <w:pStyle w:val="TextBody"/>
        <w:bidi w:val="0"/>
        <w:spacing w:lineRule="auto" w:line="288" w:before="0" w:after="120"/>
        <w:ind w:left="0" w:right="0" w:firstLine="720"/>
        <w:jc w:val="both"/>
        <w:rPr/>
      </w:pPr>
      <w:r>
        <w:rPr>
          <w:rFonts w:ascii="Adelle Sans;sans-serif" w:hAnsi="Adelle Sans;sans-serif"/>
          <w:b/>
          <w:i/>
          <w:color w:val="000000"/>
          <w:sz w:val="20"/>
        </w:rPr>
        <w:t>5.1 Indemnification of Directors and Officers in Third Party Proceedings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Subject to the other provisions of this </w:t>
      </w:r>
      <w:r>
        <w:rPr>
          <w:rFonts w:ascii="Adelle Sans;sans-serif" w:hAnsi="Adelle Sans;sans-serif"/>
          <w:b/>
          <w:color w:val="000000"/>
          <w:sz w:val="20"/>
        </w:rPr>
        <w:t>Article V</w:t>
      </w:r>
      <w:r>
        <w:rPr>
          <w:rFonts w:ascii="Adelle Sans;sans-serif" w:hAnsi="Adelle Sans;sans-serif"/>
          <w:b w:val="false"/>
          <w:color w:val="000000"/>
          <w:sz w:val="20"/>
        </w:rPr>
        <w:t>, the Company shall indemnify, to the fullest extent permitted by the TBOC, as now or hereinafter in effect, any person who was or is a party or is threatened to be made a party to any threatened, pending or completed action, suit or proceeding, whether civil, criminal, administrative or investigative (a “</w:t>
      </w:r>
      <w:r>
        <w:rPr>
          <w:rFonts w:ascii="Adelle Sans;sans-serif" w:hAnsi="Adelle Sans;sans-serif"/>
          <w:b/>
          <w:color w:val="000000"/>
          <w:sz w:val="20"/>
        </w:rPr>
        <w:t>Proceeding</w:t>
      </w:r>
      <w:r>
        <w:rPr>
          <w:color w:val="000000"/>
        </w:rPr>
        <w:t>”</w:t>
      </w:r>
      <w:r>
        <w:rPr>
          <w:rFonts w:ascii="Adelle Sans;sans-serif" w:hAnsi="Adelle Sans;sans-serif"/>
          <w:b w:val="false"/>
          <w:color w:val="000000"/>
          <w:sz w:val="20"/>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delle Sans;sans-serif" w:hAnsi="Adelle Sans;sans-serif"/>
          <w:b w:val="false"/>
          <w:i/>
          <w:color w:val="000000"/>
          <w:sz w:val="20"/>
        </w:rPr>
        <w:t xml:space="preserve">nolo contendere </w:t>
      </w:r>
      <w:r>
        <w:rPr>
          <w:rFonts w:ascii="Adelle Sans;sans-serif" w:hAnsi="Adelle Sans;sans-serif"/>
          <w:b w:val="false"/>
          <w:color w:val="000000"/>
          <w:sz w:val="20"/>
        </w:rPr>
        <w:t>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pStyle w:val="TextBody"/>
        <w:bidi w:val="0"/>
        <w:spacing w:lineRule="auto" w:line="288" w:before="0" w:after="120"/>
        <w:ind w:left="0" w:right="0" w:firstLine="720"/>
        <w:jc w:val="both"/>
        <w:rPr/>
      </w:pPr>
      <w:r>
        <w:rPr>
          <w:rFonts w:ascii="Adelle Sans;sans-serif" w:hAnsi="Adelle Sans;sans-serif"/>
          <w:b/>
          <w:i/>
          <w:color w:val="000000"/>
          <w:sz w:val="20"/>
        </w:rPr>
        <w:t>5.2 Indemnification of Directors and Officers in Actions by or in the Right of the Company</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Subject to the other provisions of this </w:t>
      </w:r>
      <w:r>
        <w:rPr>
          <w:rFonts w:ascii="Adelle Sans;sans-serif" w:hAnsi="Adelle Sans;sans-serif"/>
          <w:b/>
          <w:color w:val="000000"/>
          <w:sz w:val="20"/>
        </w:rPr>
        <w:t>Article V</w:t>
      </w:r>
      <w:r>
        <w:rPr>
          <w:rFonts w:ascii="Adelle Sans;sans-serif" w:hAnsi="Adelle Sans;sans-serif"/>
          <w:b w:val="false"/>
          <w:color w:val="000000"/>
          <w:sz w:val="20"/>
        </w:rPr>
        <w:t xml:space="preserve">, the Company shall indemnify, to the fullest extent permitted by the TBOC, as now or hereinafter in effect, any person who was or is a party or is threatened to be made a party to any threatened, pending or completed action or suit by or in the right of the Company to procure a judgment in its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pStyle w:val="TextBody"/>
        <w:bidi w:val="0"/>
        <w:spacing w:lineRule="auto" w:line="288" w:before="0" w:after="120"/>
        <w:ind w:left="0" w:right="0" w:firstLine="720"/>
        <w:jc w:val="both"/>
        <w:rPr/>
      </w:pPr>
      <w:r>
        <w:rPr>
          <w:rFonts w:ascii="Adelle Sans;sans-serif" w:hAnsi="Adelle Sans;sans-serif"/>
          <w:b/>
          <w:i/>
          <w:color w:val="000000"/>
          <w:sz w:val="20"/>
        </w:rPr>
        <w:t>5.3 Successful Defense</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To the extent that a present or former director or officer of the Company has been successful on the merits or otherwise in defense of any action, suit or proceeding described in </w:t>
      </w:r>
      <w:r>
        <w:rPr>
          <w:rFonts w:ascii="Adelle Sans;sans-serif" w:hAnsi="Adelle Sans;sans-serif"/>
          <w:b/>
          <w:color w:val="000000"/>
          <w:sz w:val="20"/>
        </w:rPr>
        <w:t xml:space="preserve">Section 5.1 </w:t>
      </w:r>
      <w:r>
        <w:rPr>
          <w:rFonts w:ascii="Adelle Sans;sans-serif" w:hAnsi="Adelle Sans;sans-serif"/>
          <w:b w:val="false"/>
          <w:color w:val="000000"/>
          <w:sz w:val="20"/>
        </w:rPr>
        <w:t xml:space="preserve">or </w:t>
      </w:r>
      <w:r>
        <w:rPr>
          <w:rFonts w:ascii="Adelle Sans;sans-serif" w:hAnsi="Adelle Sans;sans-serif"/>
          <w:b/>
          <w:color w:val="000000"/>
          <w:sz w:val="20"/>
        </w:rPr>
        <w:t xml:space="preserve">Section 5.2 </w:t>
      </w:r>
      <w:r>
        <w:rPr>
          <w:rFonts w:ascii="Adelle Sans;sans-serif" w:hAnsi="Adelle Sans;sans-serif"/>
          <w:b w:val="false"/>
          <w:color w:val="000000"/>
          <w:sz w:val="20"/>
        </w:rPr>
        <w:t>of these bylaws, or in defense of any claim, issue or matter therein, such person shall be indemnified against expenses (including attorneys’ fees) actually and reasonably incurred by such person in connection therewith.</w:t>
      </w:r>
    </w:p>
    <w:p>
      <w:pPr>
        <w:pStyle w:val="TextBody"/>
        <w:bidi w:val="0"/>
        <w:spacing w:lineRule="auto" w:line="288" w:before="0" w:after="120"/>
        <w:ind w:left="0" w:right="0" w:firstLine="720"/>
        <w:jc w:val="both"/>
        <w:rPr/>
      </w:pPr>
      <w:r>
        <w:rPr>
          <w:rFonts w:ascii="Adelle Sans;sans-serif" w:hAnsi="Adelle Sans;sans-serif"/>
          <w:b/>
          <w:i/>
          <w:color w:val="000000"/>
          <w:sz w:val="20"/>
        </w:rPr>
        <w:t>5.4 Indemnification of Others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Subject to the other provisions of this </w:t>
      </w:r>
      <w:r>
        <w:rPr>
          <w:rFonts w:ascii="Adelle Sans;sans-serif" w:hAnsi="Adelle Sans;sans-serif"/>
          <w:b/>
          <w:color w:val="000000"/>
          <w:sz w:val="20"/>
        </w:rPr>
        <w:t>Article V</w:t>
      </w:r>
      <w:r>
        <w:rPr>
          <w:rFonts w:ascii="Adelle Sans;sans-serif" w:hAnsi="Adelle Sans;sans-serif"/>
          <w:b w:val="false"/>
          <w:color w:val="000000"/>
          <w:sz w:val="20"/>
        </w:rPr>
        <w:t>, the Company shall have power to indemnify its employees and agents to the extent not prohibited by the TBOC or other applicable law. The Board shall have the power to delegate to any person or persons the determination of whether employees or agents shall be indemnified.</w:t>
      </w:r>
    </w:p>
    <w:p>
      <w:pPr>
        <w:pStyle w:val="TextBody"/>
        <w:bidi w:val="0"/>
        <w:spacing w:lineRule="auto" w:line="288" w:before="0" w:after="120"/>
        <w:ind w:left="0" w:right="0" w:firstLine="720"/>
        <w:jc w:val="both"/>
        <w:rPr/>
      </w:pPr>
      <w:r>
        <w:rPr>
          <w:rFonts w:ascii="Adelle Sans;sans-serif" w:hAnsi="Adelle Sans;sans-serif"/>
          <w:b/>
          <w:i/>
          <w:color w:val="000000"/>
          <w:sz w:val="20"/>
        </w:rPr>
        <w:t>5.5 Advanced Payment of Expenses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any documentation as may be required by the TBOC) and an undertaking by or on behalf of the person to repay such amounts if it shall ultimately be determined that the person is not entitled to be indemnified under this </w:t>
      </w:r>
      <w:r>
        <w:rPr>
          <w:rFonts w:ascii="Adelle Sans;sans-serif" w:hAnsi="Adelle Sans;sans-serif"/>
          <w:b/>
          <w:color w:val="000000"/>
          <w:sz w:val="20"/>
        </w:rPr>
        <w:t xml:space="preserve">Article V </w:t>
      </w:r>
      <w:r>
        <w:rPr>
          <w:rFonts w:ascii="Adelle Sans;sans-serif" w:hAnsi="Adelle Sans;sans-serif"/>
          <w:b w:val="false"/>
          <w:color w:val="000000"/>
          <w:sz w:val="20"/>
        </w:rPr>
        <w:t xml:space="preserve">or the TBOC.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w:t>
      </w:r>
      <w:r>
        <w:rPr>
          <w:rFonts w:ascii="Adelle Sans;sans-serif" w:hAnsi="Adelle Sans;sans-serif"/>
          <w:b/>
          <w:color w:val="000000"/>
          <w:sz w:val="20"/>
        </w:rPr>
        <w:t xml:space="preserve">Section 5.6(ii) </w:t>
      </w:r>
      <w:r>
        <w:rPr>
          <w:rFonts w:ascii="Adelle Sans;sans-serif" w:hAnsi="Adelle Sans;sans-serif"/>
          <w:b w:val="false"/>
          <w:color w:val="000000"/>
          <w:sz w:val="20"/>
        </w:rPr>
        <w:t xml:space="preserve">or </w:t>
      </w:r>
      <w:r>
        <w:rPr>
          <w:rFonts w:ascii="Adelle Sans;sans-serif" w:hAnsi="Adelle Sans;sans-serif"/>
          <w:b/>
          <w:color w:val="000000"/>
          <w:sz w:val="20"/>
        </w:rPr>
        <w:t xml:space="preserve">Section 5.6(iii) </w:t>
      </w:r>
      <w:r>
        <w:rPr>
          <w:rFonts w:ascii="Adelle Sans;sans-serif" w:hAnsi="Adelle Sans;sans-serif"/>
          <w:b w:val="false"/>
          <w:color w:val="000000"/>
          <w:sz w:val="20"/>
        </w:rPr>
        <w:t>of these bylaws prior to a determination that the person is not entitled to be indemnified by the Company.</w:t>
      </w:r>
    </w:p>
    <w:p>
      <w:pPr>
        <w:pStyle w:val="TextBody"/>
        <w:bidi w:val="0"/>
        <w:spacing w:lineRule="auto" w:line="288" w:before="0" w:after="120"/>
        <w:ind w:left="0" w:right="0" w:firstLine="720"/>
        <w:jc w:val="both"/>
        <w:rPr/>
      </w:pPr>
      <w:r>
        <w:rPr>
          <w:rFonts w:ascii="Adelle Sans;sans-serif" w:hAnsi="Adelle Sans;sans-serif"/>
          <w:b/>
          <w:i/>
          <w:color w:val="000000"/>
          <w:sz w:val="20"/>
        </w:rPr>
        <w:t>5.6 Limitation on Indemnification</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Subject to the requirements in </w:t>
      </w:r>
      <w:r>
        <w:rPr>
          <w:rFonts w:ascii="Adelle Sans;sans-serif" w:hAnsi="Adelle Sans;sans-serif"/>
          <w:b/>
          <w:color w:val="000000"/>
          <w:sz w:val="20"/>
        </w:rPr>
        <w:t xml:space="preserve">Section 5.3 </w:t>
      </w:r>
      <w:r>
        <w:rPr>
          <w:rFonts w:ascii="Adelle Sans;sans-serif" w:hAnsi="Adelle Sans;sans-serif"/>
          <w:b w:val="false"/>
          <w:color w:val="000000"/>
          <w:sz w:val="20"/>
        </w:rPr>
        <w:t xml:space="preserve">of these bylaws and the TBOC, the Company shall not be obligated to indemnify any person pursuant to this </w:t>
      </w:r>
      <w:r>
        <w:rPr>
          <w:rFonts w:ascii="Adelle Sans;sans-serif" w:hAnsi="Adelle Sans;sans-serif"/>
          <w:b/>
          <w:color w:val="000000"/>
          <w:sz w:val="20"/>
        </w:rPr>
        <w:t xml:space="preserve">Article V </w:t>
      </w:r>
      <w:r>
        <w:rPr>
          <w:rFonts w:ascii="Adelle Sans;sans-serif" w:hAnsi="Adelle Sans;sans-serif"/>
          <w:b w:val="false"/>
          <w:color w:val="000000"/>
          <w:sz w:val="20"/>
        </w:rPr>
        <w:t>in connection with any Proceeding (or any part of any Proceeding):</w:t>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(i) for which payment has actually been made to or on behalf of such person under any statute, insurance policy, indemnity provision, vote or otherwise, except with respect to any excess beyond the amount paid;</w:t>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(ii) for an accounting or disgorgement of profits pursuant to Section 16(b) of the 1934 Act or similar provisions of federal, state or local statutory law or common law, if such person is held liable therefor (including pursuant to any settlement arrangements);</w:t>
      </w:r>
    </w:p>
    <w:p>
      <w:pPr>
        <w:pStyle w:val="TextBody"/>
        <w:bidi w:val="0"/>
        <w:spacing w:lineRule="auto" w:line="288" w:before="0" w:after="120"/>
        <w:ind w:left="0" w:right="0" w:firstLine="1440"/>
        <w:jc w:val="both"/>
        <w:rPr/>
      </w:pPr>
      <w:r>
        <w:rPr>
          <w:rFonts w:ascii="Adelle Sans;sans-serif" w:hAnsi="Adelle Sans;sans-serif"/>
          <w:b w:val="false"/>
          <w:color w:val="000000"/>
          <w:sz w:val="20"/>
        </w:rPr>
        <w:t>(iii) 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delle Sans;sans-serif" w:hAnsi="Adelle Sans;sans-serif"/>
          <w:b/>
          <w:color w:val="000000"/>
          <w:sz w:val="20"/>
        </w:rPr>
        <w:t>Sarbanes-Oxley Act</w:t>
      </w:r>
      <w:r>
        <w:rPr>
          <w:color w:val="000000"/>
        </w:rPr>
        <w:t>”</w:t>
      </w:r>
      <w:r>
        <w:rPr>
          <w:rFonts w:ascii="Adelle Sans;sans-serif" w:hAnsi="Adelle Sans;sans-serif"/>
          <w:b w:val="false"/>
          <w:color w:val="000000"/>
          <w:sz w:val="20"/>
        </w:rPr>
        <w:t>), or the payment to the Company of profits arising from the purchase and sale by such person of securities in violation of Section 306 of the Sarbanes-Oxley Act), if such person is held liable therefor (including pursuant to any settlement arrangements);</w:t>
      </w:r>
    </w:p>
    <w:p>
      <w:pPr>
        <w:pStyle w:val="TextBody"/>
        <w:bidi w:val="0"/>
        <w:spacing w:lineRule="auto" w:line="288" w:before="0" w:after="120"/>
        <w:ind w:left="0" w:right="0" w:firstLine="1440"/>
        <w:jc w:val="both"/>
        <w:rPr/>
      </w:pPr>
      <w:r>
        <w:rPr>
          <w:rFonts w:ascii="Adelle Sans;sans-serif" w:hAnsi="Adelle Sans;sans-serif"/>
          <w:b w:val="false"/>
          <w:color w:val="000000"/>
          <w:sz w:val="20"/>
        </w:rPr>
        <w:t xml:space="preserve">(iv) 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 (c) otherwise required to be made under </w:t>
      </w:r>
      <w:r>
        <w:rPr>
          <w:rFonts w:ascii="Adelle Sans;sans-serif" w:hAnsi="Adelle Sans;sans-serif"/>
          <w:b/>
          <w:color w:val="000000"/>
          <w:sz w:val="20"/>
        </w:rPr>
        <w:t xml:space="preserve">Section 5.7 </w:t>
      </w:r>
      <w:r>
        <w:rPr>
          <w:rFonts w:ascii="Adelle Sans;sans-serif" w:hAnsi="Adelle Sans;sans-serif"/>
          <w:b w:val="false"/>
          <w:color w:val="000000"/>
          <w:sz w:val="20"/>
        </w:rPr>
        <w:t>of these bylaws or (d) otherwise required by applicable law; or</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(v) if prohibited by applicable law.</w:t>
      </w:r>
    </w:p>
    <w:p>
      <w:pPr>
        <w:pStyle w:val="TextBody"/>
        <w:bidi w:val="0"/>
        <w:spacing w:lineRule="auto" w:line="288" w:before="0" w:after="120"/>
        <w:ind w:left="0" w:right="0" w:firstLine="720"/>
        <w:jc w:val="both"/>
        <w:rPr/>
      </w:pPr>
      <w:r>
        <w:rPr>
          <w:rFonts w:ascii="Adelle Sans;sans-serif" w:hAnsi="Adelle Sans;sans-serif"/>
          <w:b/>
          <w:i/>
          <w:color w:val="000000"/>
          <w:sz w:val="20"/>
        </w:rPr>
        <w:t>5.7 Determination; Claim</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If a claim for indemnification or advancement of expenses under this </w:t>
      </w:r>
      <w:r>
        <w:rPr>
          <w:rFonts w:ascii="Adelle Sans;sans-serif" w:hAnsi="Adelle Sans;sans-serif"/>
          <w:b/>
          <w:color w:val="000000"/>
          <w:sz w:val="20"/>
        </w:rPr>
        <w:t xml:space="preserve">Article V </w:t>
      </w:r>
      <w:r>
        <w:rPr>
          <w:rFonts w:ascii="Adelle Sans;sans-serif" w:hAnsi="Adelle Sans;sans-serif"/>
          <w:b w:val="false"/>
          <w:color w:val="000000"/>
          <w:sz w:val="20"/>
        </w:rPr>
        <w:t xml:space="preserve">is not paid by the Company or on its behalf within 90 days after receipt by the Company of a written request therefor, the claimant shall be entitled to an adjudication by a court of competent jurisdiction of his or her entitlement to such indemnification or advancement of expenses. To the extent not prohibited by law, the Company shall indemnify such person against all expenses actually and reasonably incurred by such person in connection with any action for indemnification or advancement of expenses from the Company under this </w:t>
      </w:r>
      <w:r>
        <w:rPr>
          <w:rFonts w:ascii="Adelle Sans;sans-serif" w:hAnsi="Adelle Sans;sans-serif"/>
          <w:b/>
          <w:color w:val="000000"/>
          <w:sz w:val="20"/>
        </w:rPr>
        <w:t>Article V</w:t>
      </w:r>
      <w:r>
        <w:rPr>
          <w:rFonts w:ascii="Adelle Sans;sans-serif" w:hAnsi="Adelle Sans;sans-serif"/>
          <w:b w:val="false"/>
          <w:color w:val="000000"/>
          <w:sz w:val="20"/>
        </w:rPr>
        <w:t>, to the extent such person is successful in such action. In any such suit, the Company shall, to the fullest extent not prohibited by law, have the burden of proving that the claimant is not entitled to the requested indemnification or advancement of expenses.</w:t>
      </w:r>
    </w:p>
    <w:p>
      <w:pPr>
        <w:pStyle w:val="TextBody"/>
        <w:bidi w:val="0"/>
        <w:spacing w:lineRule="auto" w:line="288" w:before="0" w:after="120"/>
        <w:ind w:left="0" w:right="0" w:firstLine="720"/>
        <w:jc w:val="both"/>
        <w:rPr/>
      </w:pPr>
      <w:r>
        <w:rPr>
          <w:rFonts w:ascii="Adelle Sans;sans-serif" w:hAnsi="Adelle Sans;sans-serif"/>
          <w:b/>
          <w:i/>
          <w:color w:val="000000"/>
          <w:sz w:val="20"/>
        </w:rPr>
        <w:t>5.8 Non-Exclusivity of Rights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The indemnification and advancement of expenses provided by, or granted pursuant to, this </w:t>
      </w:r>
      <w:r>
        <w:rPr>
          <w:rFonts w:ascii="Adelle Sans;sans-serif" w:hAnsi="Adelle Sans;sans-serif"/>
          <w:b/>
          <w:color w:val="000000"/>
          <w:sz w:val="20"/>
        </w:rPr>
        <w:t xml:space="preserve">Article V </w:t>
      </w:r>
      <w:r>
        <w:rPr>
          <w:rFonts w:ascii="Adelle Sans;sans-serif" w:hAnsi="Adelle Sans;sans-serif"/>
          <w:b w:val="false"/>
          <w:color w:val="000000"/>
          <w:sz w:val="20"/>
        </w:rPr>
        <w:t>shall not be deemed exclusive of any other rights to which those seeking indemnification or advancement of expenses may be entitled under the certificate of formation or any statute, bylaw, agreement, vote of shareholders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TBOC or other applicable law.</w:t>
      </w:r>
    </w:p>
    <w:p>
      <w:pPr>
        <w:pStyle w:val="TextBody"/>
        <w:bidi w:val="0"/>
        <w:spacing w:lineRule="auto" w:line="288" w:before="0" w:after="120"/>
        <w:ind w:left="0" w:right="0" w:firstLine="720"/>
        <w:jc w:val="both"/>
        <w:rPr/>
      </w:pPr>
      <w:r>
        <w:rPr>
          <w:rFonts w:ascii="Adelle Sans;sans-serif" w:hAnsi="Adelle Sans;sans-serif"/>
          <w:b/>
          <w:i/>
          <w:color w:val="000000"/>
          <w:sz w:val="20"/>
        </w:rPr>
        <w:t>5.9 Insurance</w:t>
      </w:r>
      <w:r>
        <w:rPr>
          <w:rFonts w:ascii="Adelle Sans;sans-serif" w:hAnsi="Adelle Sans;sans-serif"/>
          <w:b w:val="false"/>
          <w:color w:val="000000"/>
          <w:sz w:val="20"/>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TBOC.</w:t>
      </w:r>
    </w:p>
    <w:p>
      <w:pPr>
        <w:pStyle w:val="TextBody"/>
        <w:bidi w:val="0"/>
        <w:spacing w:lineRule="auto" w:line="288" w:before="0" w:after="120"/>
        <w:ind w:left="0" w:right="0" w:firstLine="720"/>
        <w:jc w:val="both"/>
        <w:rPr/>
      </w:pPr>
      <w:r>
        <w:rPr>
          <w:rFonts w:ascii="Adelle Sans;sans-serif" w:hAnsi="Adelle Sans;sans-serif"/>
          <w:b/>
          <w:i/>
          <w:color w:val="000000"/>
          <w:sz w:val="20"/>
        </w:rPr>
        <w:t>5.10 Survival</w:t>
      </w:r>
      <w:r>
        <w:rPr>
          <w:rFonts w:ascii="Adelle Sans;sans-serif" w:hAnsi="Adelle Sans;sans-serif"/>
          <w:b w:val="false"/>
          <w:color w:val="000000"/>
          <w:sz w:val="20"/>
        </w:rPr>
        <w:t xml:space="preserve">. The rights to indemnification and advancement of expenses conferred by this </w:t>
      </w:r>
      <w:r>
        <w:rPr>
          <w:rFonts w:ascii="Adelle Sans;sans-serif" w:hAnsi="Adelle Sans;sans-serif"/>
          <w:b/>
          <w:color w:val="000000"/>
          <w:sz w:val="20"/>
        </w:rPr>
        <w:t xml:space="preserve">Article V </w:t>
      </w:r>
      <w:r>
        <w:rPr>
          <w:rFonts w:ascii="Adelle Sans;sans-serif" w:hAnsi="Adelle Sans;sans-serif"/>
          <w:b w:val="false"/>
          <w:color w:val="000000"/>
          <w:sz w:val="20"/>
        </w:rPr>
        <w:t>shall continue as to a person who has ceased to be a director, officer, employee or agent and shall inure to the benefit of the heirs, executors and administrators of such a person.</w:t>
      </w:r>
    </w:p>
    <w:p>
      <w:pPr>
        <w:pStyle w:val="TextBody"/>
        <w:bidi w:val="0"/>
        <w:spacing w:lineRule="auto" w:line="288" w:before="0" w:after="120"/>
        <w:ind w:left="0" w:right="0" w:firstLine="720"/>
        <w:jc w:val="both"/>
        <w:rPr/>
      </w:pPr>
      <w:r>
        <w:rPr>
          <w:rFonts w:ascii="Adelle Sans;sans-serif" w:hAnsi="Adelle Sans;sans-serif"/>
          <w:b/>
          <w:i/>
          <w:color w:val="000000"/>
          <w:sz w:val="20"/>
        </w:rPr>
        <w:t>5.11 Effect of Repeal or Modification</w:t>
      </w:r>
      <w:r>
        <w:rPr>
          <w:rFonts w:ascii="Adelle Sans;sans-serif" w:hAnsi="Adelle Sans;sans-serif"/>
          <w:b w:val="false"/>
          <w:i/>
          <w:color w:val="000000"/>
          <w:sz w:val="20"/>
        </w:rPr>
        <w:t xml:space="preserve">. </w:t>
      </w:r>
      <w:r>
        <w:rPr>
          <w:rFonts w:ascii="Adelle Sans;sans-serif" w:hAnsi="Adelle Sans;sans-serif"/>
          <w:b w:val="false"/>
          <w:color w:val="000000"/>
          <w:sz w:val="20"/>
        </w:rPr>
        <w:t>A right to indemnification or to advancement of expenses arising under a provision of the certificate of formation or a bylaw shall not be eliminated or impaired by an amendment to the certificate of formation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bidi w:val="0"/>
        <w:spacing w:lineRule="auto" w:line="288" w:before="0" w:after="120"/>
        <w:ind w:left="0" w:right="0" w:firstLine="720"/>
        <w:jc w:val="both"/>
        <w:rPr/>
      </w:pPr>
      <w:r>
        <w:rPr>
          <w:rFonts w:ascii="Adelle Sans;sans-serif" w:hAnsi="Adelle Sans;sans-serif"/>
          <w:b/>
          <w:i/>
          <w:color w:val="000000"/>
          <w:sz w:val="20"/>
        </w:rPr>
        <w:t>5.12 Certain Definitions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For purposes of this </w:t>
      </w:r>
      <w:r>
        <w:rPr>
          <w:rFonts w:ascii="Adelle Sans;sans-serif" w:hAnsi="Adelle Sans;sans-serif"/>
          <w:b/>
          <w:color w:val="000000"/>
          <w:sz w:val="20"/>
        </w:rPr>
        <w:t>Article V</w:t>
      </w:r>
      <w:r>
        <w:rPr>
          <w:rFonts w:ascii="Adelle Sans;sans-serif" w:hAnsi="Adelle Sans;sans-serif"/>
          <w:b w:val="false"/>
          <w:color w:val="000000"/>
          <w:sz w:val="20"/>
        </w:rPr>
        <w:t>, references to the “</w:t>
      </w:r>
      <w:r>
        <w:rPr>
          <w:rFonts w:ascii="Adelle Sans;sans-serif" w:hAnsi="Adelle Sans;sans-serif"/>
          <w:b/>
          <w:color w:val="000000"/>
          <w:sz w:val="20"/>
        </w:rPr>
        <w:t>Company</w:t>
      </w:r>
      <w:r>
        <w:rPr>
          <w:color w:val="000000"/>
        </w:rPr>
        <w:t xml:space="preserve">” </w:t>
      </w:r>
      <w:r>
        <w:rPr>
          <w:rFonts w:ascii="Adelle Sans;sans-serif" w:hAnsi="Adelle Sans;sans-serif"/>
          <w:b w:val="false"/>
          <w:color w:val="000000"/>
          <w:sz w:val="20"/>
        </w:rPr>
        <w:t xml:space="preserve">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delle Sans;sans-serif" w:hAnsi="Adelle Sans;sans-serif"/>
          <w:b/>
          <w:color w:val="000000"/>
          <w:sz w:val="20"/>
        </w:rPr>
        <w:t xml:space="preserve">Article V </w:t>
      </w:r>
      <w:r>
        <w:rPr>
          <w:rFonts w:ascii="Adelle Sans;sans-serif" w:hAnsi="Adelle Sans;sans-serif"/>
          <w:b w:val="false"/>
          <w:color w:val="000000"/>
          <w:sz w:val="20"/>
        </w:rPr>
        <w:t xml:space="preserve">with respect to the resulting or surviving corporation as such person would have with respect to such constituent corporation if its separate existence had continued. For purposes of this </w:t>
      </w:r>
      <w:r>
        <w:rPr>
          <w:rFonts w:ascii="Adelle Sans;sans-serif" w:hAnsi="Adelle Sans;sans-serif"/>
          <w:b/>
          <w:color w:val="000000"/>
          <w:sz w:val="20"/>
        </w:rPr>
        <w:t>Article V</w:t>
      </w:r>
      <w:r>
        <w:rPr>
          <w:rFonts w:ascii="Adelle Sans;sans-serif" w:hAnsi="Adelle Sans;sans-serif"/>
          <w:b w:val="false"/>
          <w:color w:val="000000"/>
          <w:sz w:val="20"/>
        </w:rPr>
        <w:t>, references to “</w:t>
      </w:r>
      <w:r>
        <w:rPr>
          <w:rFonts w:ascii="Adelle Sans;sans-serif" w:hAnsi="Adelle Sans;sans-serif"/>
          <w:b/>
          <w:color w:val="000000"/>
          <w:sz w:val="20"/>
        </w:rPr>
        <w:t>other enterprises</w:t>
      </w:r>
      <w:r>
        <w:rPr>
          <w:color w:val="000000"/>
        </w:rPr>
        <w:t xml:space="preserve">” </w:t>
      </w:r>
      <w:r>
        <w:rPr>
          <w:rFonts w:ascii="Adelle Sans;sans-serif" w:hAnsi="Adelle Sans;sans-serif"/>
          <w:b w:val="false"/>
          <w:color w:val="000000"/>
          <w:sz w:val="20"/>
        </w:rPr>
        <w:t>shall include employee benefit plans; references to “</w:t>
      </w:r>
      <w:r>
        <w:rPr>
          <w:rFonts w:ascii="Adelle Sans;sans-serif" w:hAnsi="Adelle Sans;sans-serif"/>
          <w:b/>
          <w:color w:val="000000"/>
          <w:sz w:val="20"/>
        </w:rPr>
        <w:t>fines</w:t>
      </w:r>
      <w:r>
        <w:rPr>
          <w:color w:val="000000"/>
        </w:rPr>
        <w:t xml:space="preserve">” </w:t>
      </w:r>
      <w:r>
        <w:rPr>
          <w:rFonts w:ascii="Adelle Sans;sans-serif" w:hAnsi="Adelle Sans;sans-serif"/>
          <w:b w:val="false"/>
          <w:color w:val="000000"/>
          <w:sz w:val="20"/>
        </w:rPr>
        <w:t>shall include any excise taxes assessed on a person with respect to an employee benefit plan; references to “</w:t>
      </w:r>
      <w:r>
        <w:rPr>
          <w:rFonts w:ascii="Adelle Sans;sans-serif" w:hAnsi="Adelle Sans;sans-serif"/>
          <w:b/>
          <w:color w:val="000000"/>
          <w:sz w:val="20"/>
        </w:rPr>
        <w:t>serving at the request of the Company</w:t>
      </w:r>
      <w:r>
        <w:rPr>
          <w:color w:val="000000"/>
        </w:rPr>
        <w:t xml:space="preserve">” </w:t>
      </w:r>
      <w:r>
        <w:rPr>
          <w:rFonts w:ascii="Adelle Sans;sans-serif" w:hAnsi="Adelle Sans;sans-serif"/>
          <w:b w:val="false"/>
          <w:color w:val="000000"/>
          <w:sz w:val="20"/>
        </w:rPr>
        <w:t>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delle Sans;sans-serif" w:hAnsi="Adelle Sans;sans-serif"/>
          <w:b/>
          <w:color w:val="000000"/>
          <w:sz w:val="20"/>
        </w:rPr>
        <w:t>not opposed to the best interests of the Company</w:t>
      </w:r>
      <w:r>
        <w:rPr>
          <w:color w:val="000000"/>
        </w:rPr>
        <w:t xml:space="preserve">” </w:t>
      </w:r>
      <w:r>
        <w:rPr>
          <w:rFonts w:ascii="Adelle Sans;sans-serif" w:hAnsi="Adelle Sans;sans-serif"/>
          <w:b w:val="false"/>
          <w:color w:val="000000"/>
          <w:sz w:val="20"/>
        </w:rPr>
        <w:t xml:space="preserve">as referred to in this </w:t>
      </w:r>
      <w:r>
        <w:rPr>
          <w:rFonts w:ascii="Adelle Sans;sans-serif" w:hAnsi="Adelle Sans;sans-serif"/>
          <w:b/>
          <w:color w:val="000000"/>
          <w:sz w:val="20"/>
        </w:rPr>
        <w:t>Article V</w:t>
      </w:r>
      <w:r>
        <w:rPr>
          <w:rFonts w:ascii="Adelle Sans;sans-serif" w:hAnsi="Adelle Sans;sans-serif"/>
          <w:b w:val="false"/>
          <w:color w:val="000000"/>
          <w:sz w:val="20"/>
        </w:rPr>
        <w:t>.</w:t>
      </w:r>
    </w:p>
    <w:p>
      <w:pPr>
        <w:pStyle w:val="TextBody"/>
        <w:bidi w:val="0"/>
        <w:spacing w:lineRule="auto" w:line="288" w:before="0" w:after="120"/>
        <w:jc w:val="center"/>
        <w:rPr>
          <w:rFonts w:ascii="Adelle Sans;sans-serif" w:hAnsi="Adelle Sans;sans-serif"/>
          <w:b/>
          <w:color w:val="000000"/>
          <w:sz w:val="20"/>
        </w:rPr>
      </w:pPr>
      <w:r>
        <w:rPr>
          <w:rFonts w:ascii="Adelle Sans;sans-serif" w:hAnsi="Adelle Sans;sans-serif"/>
          <w:b/>
          <w:color w:val="000000"/>
          <w:sz w:val="20"/>
        </w:rPr>
        <w:t>ARTICLE VI - STOCK</w:t>
      </w:r>
    </w:p>
    <w:p>
      <w:pPr>
        <w:pStyle w:val="TextBody"/>
        <w:bidi w:val="0"/>
        <w:spacing w:lineRule="auto" w:line="288" w:before="0" w:after="120"/>
        <w:ind w:left="0" w:right="0" w:firstLine="720"/>
        <w:jc w:val="both"/>
        <w:rPr/>
      </w:pPr>
      <w:r>
        <w:rPr>
          <w:rFonts w:ascii="Adelle Sans;sans-serif" w:hAnsi="Adelle Sans;sans-serif"/>
          <w:b/>
          <w:i/>
          <w:color w:val="000000"/>
          <w:sz w:val="20"/>
        </w:rPr>
        <w:t>6.1 Stock Certificates; No Partly Paid Shares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The shares of the Company shall be uncertificated, provided that the Board may provide by resolution or resolutions that some or all of any or all classes or series of its stock shall be represented by certificates. Unless otherwise provided by resolution of the Board, every holder of stock represented by certificates shall be entitled to have a certificate signed by, or in the name of,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 The Company may not issue the whole or any part of its shares as partly paid.</w:t>
      </w:r>
    </w:p>
    <w:p>
      <w:pPr>
        <w:pStyle w:val="TextBody"/>
        <w:bidi w:val="0"/>
        <w:spacing w:lineRule="auto" w:line="288" w:before="0" w:after="120"/>
        <w:ind w:left="0" w:right="0" w:firstLine="720"/>
        <w:jc w:val="both"/>
        <w:rPr/>
      </w:pPr>
      <w:r>
        <w:rPr>
          <w:rFonts w:ascii="Adelle Sans;sans-serif" w:hAnsi="Adelle Sans;sans-serif"/>
          <w:b/>
          <w:i/>
          <w:color w:val="000000"/>
          <w:sz w:val="20"/>
        </w:rPr>
        <w:t>6.2 Special Designation on Certificates</w:t>
      </w:r>
      <w:r>
        <w:rPr>
          <w:rFonts w:ascii="Adelle Sans;sans-serif" w:hAnsi="Adelle Sans;sans-serif"/>
          <w:b w:val="false"/>
          <w:i/>
          <w:color w:val="000000"/>
          <w:sz w:val="20"/>
        </w:rPr>
        <w:t xml:space="preserve">. </w:t>
      </w:r>
      <w:r>
        <w:rPr>
          <w:rFonts w:ascii="Adelle Sans;sans-serif" w:hAnsi="Adelle Sans;sans-serif"/>
          <w:b w:val="false"/>
          <w:color w:val="000000"/>
          <w:sz w:val="20"/>
        </w:rPr>
        <w:t xml:space="preserve">If the Company is authorized to issue more than one class of stock or more than one series of any class, then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delle Sans;sans-serif" w:hAnsi="Adelle Sans;sans-serif"/>
          <w:b w:val="false"/>
          <w:i/>
          <w:color w:val="000000"/>
          <w:sz w:val="20"/>
        </w:rPr>
        <w:t xml:space="preserve">provided </w:t>
      </w:r>
      <w:r>
        <w:rPr>
          <w:rFonts w:ascii="Adelle Sans;sans-serif" w:hAnsi="Adelle Sans;sans-serif"/>
          <w:b w:val="false"/>
          <w:color w:val="000000"/>
          <w:sz w:val="20"/>
        </w:rPr>
        <w:t xml:space="preserve">that, except as otherwise provided in Section 3.202 of the TBOC, in lieu of the foregoing requirements, there may be set forth on the face or back of the certificate that the Company shall issue to represent such class or series of stock, a statement that the Company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w:t>
      </w:r>
      <w:r>
        <w:rPr>
          <w:rFonts w:ascii="Adelle Sans;sans-serif" w:hAnsi="Adelle Sans;sans-serif"/>
          <w:b/>
          <w:color w:val="000000"/>
          <w:sz w:val="20"/>
        </w:rPr>
        <w:t xml:space="preserve">Section 6.2 </w:t>
      </w:r>
      <w:r>
        <w:rPr>
          <w:rFonts w:ascii="Adelle Sans;sans-serif" w:hAnsi="Adelle Sans;sans-serif"/>
          <w:b w:val="false"/>
          <w:color w:val="000000"/>
          <w:sz w:val="20"/>
        </w:rPr>
        <w:t xml:space="preserve">or Section 3.205 of the TBOC or with respect to this </w:t>
      </w:r>
      <w:r>
        <w:rPr>
          <w:rFonts w:ascii="Adelle Sans;sans-serif" w:hAnsi="Adelle Sans;sans-serif"/>
          <w:b/>
          <w:color w:val="000000"/>
          <w:sz w:val="20"/>
        </w:rPr>
        <w:t xml:space="preserve">Section 6.2 </w:t>
      </w:r>
      <w:r>
        <w:rPr>
          <w:rFonts w:ascii="Adelle Sans;sans-serif" w:hAnsi="Adelle Sans;sans-serif"/>
          <w:b w:val="false"/>
          <w:color w:val="000000"/>
          <w:sz w:val="20"/>
        </w:rPr>
        <w:t>a statement that the Company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pStyle w:val="TextBody"/>
        <w:bidi w:val="0"/>
        <w:spacing w:lineRule="auto" w:line="288" w:before="0" w:after="120"/>
        <w:ind w:left="0" w:right="0" w:firstLine="720"/>
        <w:jc w:val="both"/>
        <w:rPr/>
      </w:pPr>
      <w:r>
        <w:rPr>
          <w:rFonts w:ascii="Adelle Sans;sans-serif" w:hAnsi="Adelle Sans;sans-serif"/>
          <w:b/>
          <w:i/>
          <w:color w:val="000000"/>
          <w:sz w:val="20"/>
        </w:rPr>
        <w:t>6.3 Lost Certificates</w:t>
      </w:r>
      <w:r>
        <w:rPr>
          <w:rFonts w:ascii="Adelle Sans;sans-serif" w:hAnsi="Adelle Sans;sans-serif"/>
          <w:b w:val="false"/>
          <w:color w:val="000000"/>
          <w:sz w:val="20"/>
        </w:rPr>
        <w:t xml:space="preserve">. Except as provided in this </w:t>
      </w:r>
      <w:r>
        <w:rPr>
          <w:rFonts w:ascii="Adelle Sans;sans-serif" w:hAnsi="Adelle Sans;sans-serif"/>
          <w:b/>
          <w:color w:val="000000"/>
          <w:sz w:val="20"/>
        </w:rPr>
        <w:t>Section 6.3</w:t>
      </w:r>
      <w:r>
        <w:rPr>
          <w:rFonts w:ascii="Adelle Sans;sans-serif" w:hAnsi="Adelle Sans;sans-serif"/>
          <w:b w:val="false"/>
          <w:color w:val="000000"/>
          <w:sz w:val="20"/>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lineRule="auto" w:line="288" w:before="0" w:after="120"/>
        <w:ind w:left="0" w:right="0" w:firstLine="720"/>
        <w:jc w:val="both"/>
        <w:rPr/>
      </w:pPr>
      <w:r>
        <w:rPr>
          <w:rFonts w:ascii="Adelle Sans;sans-serif" w:hAnsi="Adelle Sans;sans-serif"/>
          <w:b/>
          <w:i/>
          <w:color w:val="000000"/>
          <w:sz w:val="20"/>
        </w:rPr>
        <w:t>6.4 Dividends</w:t>
      </w:r>
      <w:r>
        <w:rPr>
          <w:rFonts w:ascii="Adelle Sans;sans-serif" w:hAnsi="Adelle Sans;sans-serif"/>
          <w:b w:val="false"/>
          <w:color w:val="000000"/>
          <w:sz w:val="20"/>
        </w:rPr>
        <w:t>. The Board, subject to any restrictions contained in the certificate of formation or applicable law, may declare and pay dividends upon the shares of the Company’s capital stock. Dividends may be paid in cash, in property or in shares of the Company’s capital stock, subject to the provisions of the certificate of formation.</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The Board may set apart out of any of the funds of the Company available for dividends a reserve or reserves for any proper purpose and may abolish any such reserve.</w:t>
      </w:r>
    </w:p>
    <w:p>
      <w:pPr>
        <w:pStyle w:val="TextBody"/>
        <w:bidi w:val="0"/>
        <w:spacing w:lineRule="auto" w:line="288" w:before="0" w:after="120"/>
        <w:ind w:left="0" w:right="0" w:firstLine="720"/>
        <w:jc w:val="both"/>
        <w:rPr/>
      </w:pPr>
      <w:r>
        <w:rPr>
          <w:rFonts w:ascii="Adelle Sans;sans-serif" w:hAnsi="Adelle Sans;sans-serif"/>
          <w:b/>
          <w:i/>
          <w:color w:val="000000"/>
          <w:sz w:val="20"/>
        </w:rPr>
        <w:t>6.5 Stock Transfer Agreements</w:t>
      </w:r>
      <w:r>
        <w:rPr>
          <w:rFonts w:ascii="Adelle Sans;sans-serif" w:hAnsi="Adelle Sans;sans-serif"/>
          <w:b w:val="false"/>
          <w:color w:val="000000"/>
          <w:sz w:val="20"/>
        </w:rPr>
        <w:t>. The Company shall have power to enter into and perform any agreement with any number of shareholders of any one or more classes of stock of the Company to restrict the transfer of shares of stock of the Company of any one or more classes owned by such shareholders in any manner not prohibited by the TBOC.</w:t>
      </w:r>
    </w:p>
    <w:p>
      <w:pPr>
        <w:pStyle w:val="TextBody"/>
        <w:bidi w:val="0"/>
        <w:spacing w:lineRule="auto" w:line="288" w:before="0" w:after="120"/>
        <w:ind w:left="0" w:right="0" w:firstLine="720"/>
        <w:jc w:val="both"/>
        <w:rPr/>
      </w:pPr>
      <w:r>
        <w:rPr>
          <w:rFonts w:ascii="Adelle Sans;sans-serif" w:hAnsi="Adelle Sans;sans-serif"/>
          <w:b/>
          <w:i/>
          <w:color w:val="000000"/>
          <w:sz w:val="20"/>
        </w:rPr>
        <w:t>6.6 Registered Shareholders</w:t>
      </w:r>
      <w:r>
        <w:rPr>
          <w:rFonts w:ascii="Adelle Sans;sans-serif" w:hAnsi="Adelle Sans;sans-serif"/>
          <w:b w:val="false"/>
          <w:color w:val="000000"/>
          <w:sz w:val="20"/>
        </w:rPr>
        <w:t>. The Company:</w:t>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(i) shall be entitled to treat the person registered on its books as the owner of any share or shares as the person exclusively entitled to receive dividends, vote, receive notifications and otherwise exercise all the rights and powers of an owner of such share or shares; and</w:t>
      </w:r>
    </w:p>
    <w:p>
      <w:pPr>
        <w:pStyle w:val="TextBody"/>
        <w:bidi w:val="0"/>
        <w:spacing w:lineRule="auto" w:line="288" w:before="0" w:after="120"/>
        <w:ind w:left="0" w:right="0" w:firstLine="1440"/>
        <w:jc w:val="both"/>
        <w:rPr>
          <w:rFonts w:ascii="Adelle Sans;sans-serif" w:hAnsi="Adelle Sans;sans-serif"/>
          <w:b w:val="false"/>
          <w:color w:val="000000"/>
          <w:sz w:val="20"/>
        </w:rPr>
      </w:pPr>
      <w:r>
        <w:rPr>
          <w:rFonts w:ascii="Adelle Sans;sans-serif" w:hAnsi="Adelle Sans;sans-serif"/>
          <w:b w:val="false"/>
          <w:color w:val="000000"/>
          <w:sz w:val="20"/>
        </w:rPr>
        <w:t>(ii) shall not be bound to recognize any equitable or other claim to or interest in such share or shares on the part of another person, whether or not it shall have express or other notice thereof, except as otherwise provided by the laws of Texas.</w:t>
      </w:r>
    </w:p>
    <w:p>
      <w:pPr>
        <w:pStyle w:val="TextBody"/>
        <w:bidi w:val="0"/>
        <w:spacing w:lineRule="auto" w:line="288" w:before="0" w:after="120"/>
        <w:ind w:left="0" w:right="0" w:firstLine="720"/>
        <w:jc w:val="both"/>
        <w:rPr/>
      </w:pPr>
      <w:r>
        <w:rPr>
          <w:rFonts w:ascii="Adelle Sans;sans-serif" w:hAnsi="Adelle Sans;sans-serif"/>
          <w:b/>
          <w:i/>
          <w:color w:val="000000"/>
          <w:sz w:val="20"/>
        </w:rPr>
        <w:t>6.7 Transfers</w:t>
      </w:r>
      <w:r>
        <w:rPr>
          <w:rFonts w:ascii="Adelle Sans;sans-serif" w:hAnsi="Adelle Sans;sans-serif"/>
          <w:b w:val="false"/>
          <w:color w:val="000000"/>
          <w:sz w:val="20"/>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center"/>
        <w:rPr>
          <w:rFonts w:ascii="Adelle Sans;sans-serif" w:hAnsi="Adelle Sans;sans-serif"/>
          <w:b/>
          <w:color w:val="000000"/>
          <w:sz w:val="20"/>
        </w:rPr>
      </w:pPr>
      <w:r>
        <w:rPr>
          <w:rFonts w:ascii="Adelle Sans;sans-serif" w:hAnsi="Adelle Sans;sans-serif"/>
          <w:b/>
          <w:color w:val="000000"/>
          <w:sz w:val="20"/>
        </w:rPr>
        <w:t>ARTICLE VII - MANNER OF GIVING NOTICE AND WAIVER</w:t>
      </w:r>
    </w:p>
    <w:p>
      <w:pPr>
        <w:pStyle w:val="TextBody"/>
        <w:bidi w:val="0"/>
        <w:spacing w:lineRule="auto" w:line="288" w:before="0" w:after="120"/>
        <w:ind w:left="0" w:right="0" w:firstLine="720"/>
        <w:jc w:val="both"/>
        <w:rPr>
          <w:rFonts w:ascii="Adelle Sans;sans-serif" w:hAnsi="Adelle Sans;sans-serif"/>
          <w:b/>
          <w:i/>
          <w:color w:val="000000"/>
          <w:sz w:val="20"/>
        </w:rPr>
      </w:pPr>
      <w:r>
        <w:rPr>
          <w:rFonts w:ascii="Adelle Sans;sans-serif" w:hAnsi="Adelle Sans;sans-serif"/>
          <w:b/>
          <w:i/>
          <w:color w:val="000000"/>
          <w:sz w:val="20"/>
        </w:rPr>
        <w:t>7.1 Notice of Shareholders Meetings.</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Notice of any meeting of shareholders shall be given in the manner set forth in the TBOC.</w:t>
      </w:r>
    </w:p>
    <w:p>
      <w:pPr>
        <w:pStyle w:val="TextBody"/>
        <w:bidi w:val="0"/>
        <w:spacing w:lineRule="auto" w:line="288" w:before="0" w:after="120"/>
        <w:ind w:left="0" w:right="0" w:firstLine="720"/>
        <w:jc w:val="both"/>
        <w:rPr>
          <w:rFonts w:ascii="Adelle Sans;sans-serif" w:hAnsi="Adelle Sans;sans-serif"/>
          <w:b/>
          <w:i/>
          <w:color w:val="000000"/>
          <w:sz w:val="20"/>
        </w:rPr>
      </w:pPr>
      <w:r>
        <w:rPr>
          <w:rFonts w:ascii="Adelle Sans;sans-serif" w:hAnsi="Adelle Sans;sans-serif"/>
          <w:b/>
          <w:i/>
          <w:color w:val="000000"/>
          <w:sz w:val="20"/>
        </w:rPr>
        <w:t>7.2 Waiver of Notice.</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Whenever notice is required to be given under any provision of the TBOC, the certificate of formation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unless the person participates in or attends the meeting solely to object to the transaction of business at the meeting on the ground that the meeting was not lawfully called or convened. Neither the business to be transacted at, nor the purpose of, any regular or special meeting of the shareholders need be specified in any written waiver of notice or any waiver by electronic transmission unless so required by the certificate of formation or these bylaws.</w:t>
      </w:r>
    </w:p>
    <w:p>
      <w:pPr>
        <w:pStyle w:val="TextBody"/>
        <w:bidi w:val="0"/>
        <w:spacing w:lineRule="auto" w:line="288" w:before="0" w:after="120"/>
        <w:ind w:left="0" w:right="0" w:firstLine="720"/>
        <w:jc w:val="center"/>
        <w:rPr>
          <w:rFonts w:ascii="Adelle Sans;sans-serif" w:hAnsi="Adelle Sans;sans-serif"/>
          <w:b/>
          <w:color w:val="000000"/>
          <w:sz w:val="20"/>
        </w:rPr>
      </w:pPr>
      <w:r>
        <w:rPr>
          <w:rFonts w:ascii="Adelle Sans;sans-serif" w:hAnsi="Adelle Sans;sans-serif"/>
          <w:b/>
          <w:color w:val="000000"/>
          <w:sz w:val="20"/>
        </w:rPr>
        <w:t>ARTICLE VIII - GENERAL MATTERS</w:t>
      </w:r>
    </w:p>
    <w:p>
      <w:pPr>
        <w:pStyle w:val="TextBody"/>
        <w:bidi w:val="0"/>
        <w:spacing w:lineRule="auto" w:line="288" w:before="0" w:after="120"/>
        <w:ind w:left="0" w:right="0" w:firstLine="720"/>
        <w:jc w:val="both"/>
        <w:rPr/>
      </w:pPr>
      <w:r>
        <w:rPr>
          <w:rFonts w:ascii="Adelle Sans;sans-serif" w:hAnsi="Adelle Sans;sans-serif"/>
          <w:b/>
          <w:i/>
          <w:color w:val="000000"/>
          <w:sz w:val="20"/>
        </w:rPr>
        <w:t>8.1 Fiscal Year</w:t>
      </w:r>
      <w:r>
        <w:rPr>
          <w:rFonts w:ascii="Adelle Sans;sans-serif" w:hAnsi="Adelle Sans;sans-serif"/>
          <w:b w:val="false"/>
          <w:i/>
          <w:color w:val="000000"/>
          <w:sz w:val="20"/>
        </w:rPr>
        <w:t xml:space="preserve">. </w:t>
      </w:r>
      <w:r>
        <w:rPr>
          <w:rFonts w:ascii="Adelle Sans;sans-serif" w:hAnsi="Adelle Sans;sans-serif"/>
          <w:b w:val="false"/>
          <w:color w:val="000000"/>
          <w:sz w:val="20"/>
        </w:rPr>
        <w:t>The fiscal year of the Company shall be fixed by resolution of the Board and may be changed by the Board.</w:t>
      </w:r>
    </w:p>
    <w:p>
      <w:pPr>
        <w:pStyle w:val="TextBody"/>
        <w:bidi w:val="0"/>
        <w:spacing w:lineRule="auto" w:line="288" w:before="0" w:after="120"/>
        <w:ind w:left="0" w:right="0" w:firstLine="720"/>
        <w:jc w:val="both"/>
        <w:rPr/>
      </w:pPr>
      <w:r>
        <w:rPr>
          <w:rFonts w:ascii="Adelle Sans;sans-serif" w:hAnsi="Adelle Sans;sans-serif"/>
          <w:b/>
          <w:i/>
          <w:color w:val="000000"/>
          <w:sz w:val="20"/>
        </w:rPr>
        <w:t>8.2 Seal</w:t>
      </w:r>
      <w:r>
        <w:rPr>
          <w:rFonts w:ascii="Adelle Sans;sans-serif" w:hAnsi="Adelle Sans;sans-serif"/>
          <w:b w:val="false"/>
          <w:color w:val="000000"/>
          <w:sz w:val="20"/>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pStyle w:val="TextBody"/>
        <w:bidi w:val="0"/>
        <w:spacing w:lineRule="auto" w:line="288" w:before="0" w:after="120"/>
        <w:ind w:left="0" w:right="0" w:firstLine="720"/>
        <w:jc w:val="both"/>
        <w:rPr/>
      </w:pPr>
      <w:r>
        <w:rPr>
          <w:rFonts w:ascii="Adelle Sans;sans-serif" w:hAnsi="Adelle Sans;sans-serif"/>
          <w:b/>
          <w:i/>
          <w:color w:val="000000"/>
          <w:sz w:val="20"/>
        </w:rPr>
        <w:t>8.3 Annual Report</w:t>
      </w:r>
      <w:r>
        <w:rPr>
          <w:rFonts w:ascii="Adelle Sans;sans-serif" w:hAnsi="Adelle Sans;sans-serif"/>
          <w:b w:val="false"/>
          <w:color w:val="000000"/>
          <w:sz w:val="20"/>
        </w:rPr>
        <w:t>. The Company shall cause an annual report to be sent to the shareholders of the Company to the extent required by applicable law. If and so long as there are fewer than 100 holders of record of the Company’s shares, the requirement of sending an annual report to the shareholders of the Company is expressly waived (to the extent permitted under applicable law).</w:t>
      </w:r>
    </w:p>
    <w:p>
      <w:pPr>
        <w:pStyle w:val="TextBody"/>
        <w:bidi w:val="0"/>
        <w:spacing w:lineRule="auto" w:line="288" w:before="0" w:after="120"/>
        <w:ind w:left="0" w:right="0" w:firstLine="720"/>
        <w:jc w:val="both"/>
        <w:rPr/>
      </w:pPr>
      <w:r>
        <w:rPr>
          <w:rFonts w:ascii="Adelle Sans;sans-serif" w:hAnsi="Adelle Sans;sans-serif"/>
          <w:b/>
          <w:i/>
          <w:color w:val="000000"/>
          <w:sz w:val="20"/>
        </w:rPr>
        <w:t>8.4 Construction; Definitions</w:t>
      </w:r>
      <w:r>
        <w:rPr>
          <w:rFonts w:ascii="Adelle Sans;sans-serif" w:hAnsi="Adelle Sans;sans-serif"/>
          <w:b w:val="false"/>
          <w:color w:val="000000"/>
          <w:sz w:val="20"/>
        </w:rPr>
        <w:t>. Unless the context requires otherwise, the general provisions, rules of construction and definitions in the TBOC shall govern the construction of these bylaws. Without limiting the generality of this provision, the singular number includes the plural, the plural number includes the singular, and the term “</w:t>
      </w:r>
      <w:r>
        <w:rPr>
          <w:rFonts w:ascii="Adelle Sans;sans-serif" w:hAnsi="Adelle Sans;sans-serif"/>
          <w:b/>
          <w:color w:val="000000"/>
          <w:sz w:val="20"/>
        </w:rPr>
        <w:t>person</w:t>
      </w:r>
      <w:r>
        <w:rPr>
          <w:color w:val="000000"/>
        </w:rPr>
        <w:t xml:space="preserve">” </w:t>
      </w:r>
      <w:r>
        <w:rPr>
          <w:rFonts w:ascii="Adelle Sans;sans-serif" w:hAnsi="Adelle Sans;sans-serif"/>
          <w:b w:val="false"/>
          <w:color w:val="000000"/>
          <w:sz w:val="20"/>
        </w:rPr>
        <w:t>includes a corporation, any other entity and a natural person.</w:t>
      </w:r>
    </w:p>
    <w:p>
      <w:pPr>
        <w:pStyle w:val="TextBody"/>
        <w:bidi w:val="0"/>
        <w:spacing w:lineRule="auto" w:line="288" w:before="0" w:after="120"/>
        <w:ind w:left="0" w:right="0" w:firstLine="720"/>
        <w:jc w:val="both"/>
        <w:rPr/>
      </w:pPr>
      <w:r>
        <w:rPr>
          <w:rFonts w:ascii="Adelle Sans;sans-serif" w:hAnsi="Adelle Sans;sans-serif"/>
          <w:b/>
          <w:i/>
          <w:color w:val="000000"/>
          <w:sz w:val="20"/>
        </w:rPr>
        <w:t>8.5 Election To Be Governed by Section 21.419 of the TBOC</w:t>
      </w:r>
      <w:r>
        <w:rPr>
          <w:rFonts w:ascii="Adelle Sans;sans-serif" w:hAnsi="Adelle Sans;sans-serif"/>
          <w:b w:val="false"/>
          <w:color w:val="000000"/>
          <w:sz w:val="20"/>
        </w:rPr>
        <w:t>. The Corporation elects to be governed by Section 21.419 of the BOC.</w:t>
      </w:r>
    </w:p>
    <w:p>
      <w:pPr>
        <w:pStyle w:val="TextBody"/>
        <w:bidi w:val="0"/>
        <w:spacing w:lineRule="auto" w:line="288" w:before="0" w:after="120"/>
        <w:ind w:left="0" w:right="0" w:firstLine="720"/>
        <w:jc w:val="both"/>
        <w:rPr/>
      </w:pPr>
      <w:r>
        <w:rPr>
          <w:rFonts w:ascii="Adelle Sans;sans-serif" w:hAnsi="Adelle Sans;sans-serif"/>
          <w:b/>
          <w:i/>
          <w:color w:val="000000"/>
          <w:sz w:val="20"/>
        </w:rPr>
        <w:t>8.6</w:t>
      </w:r>
      <w:r>
        <w:rPr>
          <w:color w:val="000000"/>
        </w:rPr>
        <w:t xml:space="preserve"> </w:t>
      </w:r>
      <w:r>
        <w:rPr>
          <w:rFonts w:ascii="Adelle Sans;sans-serif" w:hAnsi="Adelle Sans;sans-serif"/>
          <w:b/>
          <w:i/>
          <w:color w:val="000000"/>
          <w:sz w:val="20"/>
        </w:rPr>
        <w:t>Forum Selection</w:t>
      </w:r>
      <w:r>
        <w:rPr>
          <w:rFonts w:ascii="Adelle Sans;sans-serif" w:hAnsi="Adelle Sans;sans-serif"/>
          <w:b/>
          <w:color w:val="000000"/>
          <w:sz w:val="20"/>
        </w:rPr>
        <w:t xml:space="preserve">. </w:t>
      </w:r>
      <w:r>
        <w:rPr>
          <w:rFonts w:ascii="Adelle Sans;sans-serif" w:hAnsi="Adelle Sans;sans-serif"/>
          <w:b w:val="false"/>
          <w:color w:val="000000"/>
          <w:sz w:val="20"/>
        </w:rPr>
        <w:t>Unless the Company consents in writing to the selection of an alternative forum, the Texas Business Court in the First Division of the Texas Business Court (or, if the Texas Business Court does not have jurisdiction, the federal district court for the Northern District of Texas, Dallas Division or the state district court of Dallas County, Texas or another state court in Texas, provided, however, and for purposes of clarity, any suit, action or other proceeding shall only be brought before a state court in Dallas County, Texas, to the extent and only to the extent that the Texas Business Court and the Federal Court do not have jurisdiction over the same) shall, to the fullest extent permitted by law, be the sole and exclusive forum for (a) any derivative action or proceeding brought on behalf of the Company, (b) any action asserting a claim for or based on a breach of a fiduciary duty owed by any current or former director, shareholder, officer or other employee of the Company to the Company or the Company’s shareholders, (c) any action asserting a claim against the Company or any current or former director, officer or other employee of the Company arising pursuant to any provision of the TBOC or the Certificate of Formation or the Bylaws (as each may be amended from time to time), (d) any action asserting an “internal entity claim” (as defined in Section 2.115 of the TBOC) or (e) any other action or proceeding in which the Texas Business Court has jurisdiction, except for, as to each of (a) through (e)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For the avoidance of doubt, nothing contained in this first paragraph of Section 8.6 shall apply to any action brought to enforce a duty or liability created by the Securities Act of 1933, as amended (the “1933 Act”), or the 1934 Act, or any successor thereto.</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Unless the Company consents in writing to the selection of an alternative forum, the federal district courts of the United States shall be the sole and exclusive forum for the resolution of any complaint asserting a cause of action arising under the 1933 Act.</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Any person or entity purchasing or otherwise acquiring any interest in any security of the Company shall be deemed to have notice of and consented to the provisions of this Section 8.6.</w:t>
      </w:r>
    </w:p>
    <w:p>
      <w:pPr>
        <w:pStyle w:val="TextBody"/>
        <w:bidi w:val="0"/>
        <w:spacing w:lineRule="auto" w:line="288" w:before="0" w:after="120"/>
        <w:ind w:left="0" w:right="0" w:firstLine="720"/>
        <w:jc w:val="both"/>
        <w:rPr/>
      </w:pPr>
      <w:r>
        <w:rPr>
          <w:rFonts w:ascii="Adelle Sans;sans-serif" w:hAnsi="Adelle Sans;sans-serif"/>
          <w:b/>
          <w:color w:val="000000"/>
          <w:sz w:val="20"/>
        </w:rPr>
        <w:t xml:space="preserve">8.7 </w:t>
      </w:r>
      <w:r>
        <w:rPr>
          <w:rFonts w:ascii="Adelle Sans;sans-serif" w:hAnsi="Adelle Sans;sans-serif"/>
          <w:b/>
          <w:i/>
          <w:color w:val="000000"/>
          <w:sz w:val="20"/>
        </w:rPr>
        <w:t>Jury Trial Waiver</w:t>
      </w:r>
      <w:r>
        <w:rPr>
          <w:rFonts w:ascii="Adelle Sans;sans-serif" w:hAnsi="Adelle Sans;sans-serif"/>
          <w:b/>
          <w:color w:val="000000"/>
          <w:sz w:val="20"/>
        </w:rPr>
        <w:t>. UNLESS THE COMPANY CONSENTS IN WRITING TO A JURY TRIAL, THE COMPANY AND EACH SHAREHOLDER, DIRECTOR, AND OFFICER OF THE COMPANY HEREBY IRREVOCABLY AND UNCONDITIONALLY WAIVE ANY RIGHT THAT THE COMPANY OR SUCH PERSON MAY HAVE TO A TRIAL BY JURY IN ANY LEGAL ACTION, PROCEEDING, CAUSE OF ACTION, COUNTERCLAIM, CROSS-CLAIM OR THIRD-PARTY CLAIM ARISING OUT OF OR RELATING TO ANY “INTERNAL ENTITY CLAIM” AS THAT TERM IS DEFINED IN SECTION 2.115 OF THE TBOC, AND TO THE FULLEST EXTENT PERMITTED BY APPLICABLE LAW, ANY OTHER LEGAL ACTION, PROCEEDING, CAUSE OF ACTION, COUNTERCLAIM, CROSS-CLAIM OR THIRD-PARTY CLAIM WITHIN THE SCOPE OF SECTION 8.6 AND EACH SHAREHOLDER AGREES THAT SUCH SHAREHOLDER’S HOLDING OR ACQUISITION OF SHARES OF STOCK OF THE COMPANY OR, TO THE EXTENT PERMITTED BY LAW, OPTIONS OR RIGHTS TO ACQUIRE SHARES OF STOCK OF THE COMPANY FOLLOWING THE ADOPTION OF THIS CERTIFICATE OF FORMATION CONSTITUTES SUCH SHAREHOLDER’S INTENTIONAL AND KNOWING WAIVER OF ANY RIGHT TO TRIAL BY JURY WITH RESPECT TO SUCH CLAIMS</w:t>
      </w:r>
      <w:r>
        <w:rPr>
          <w:rFonts w:ascii="Adelle Sans;sans-serif" w:hAnsi="Adelle Sans;sans-serif"/>
          <w:b w:val="false"/>
          <w:color w:val="000000"/>
          <w:sz w:val="20"/>
        </w:rPr>
        <w:t>.</w:t>
      </w:r>
    </w:p>
    <w:p>
      <w:pPr>
        <w:pStyle w:val="TextBody"/>
        <w:bidi w:val="0"/>
        <w:spacing w:lineRule="auto" w:line="288" w:before="0" w:after="120"/>
        <w:ind w:left="0" w:right="0" w:firstLine="720"/>
        <w:jc w:val="center"/>
        <w:rPr>
          <w:rFonts w:ascii="Adelle Sans;sans-serif" w:hAnsi="Adelle Sans;sans-serif"/>
          <w:b/>
          <w:color w:val="000000"/>
          <w:sz w:val="20"/>
        </w:rPr>
      </w:pPr>
      <w:r>
        <w:rPr>
          <w:rFonts w:ascii="Adelle Sans;sans-serif" w:hAnsi="Adelle Sans;sans-serif"/>
          <w:b/>
          <w:color w:val="000000"/>
          <w:sz w:val="20"/>
        </w:rPr>
        <w:t>ARTICLE IX - AMENDMENTS</w:t>
      </w:r>
    </w:p>
    <w:p>
      <w:pPr>
        <w:pStyle w:val="TextBody"/>
        <w:bidi w:val="0"/>
        <w:spacing w:lineRule="auto" w:line="288" w:before="0" w:after="120"/>
        <w:ind w:left="0" w:right="0" w:firstLine="720"/>
        <w:jc w:val="both"/>
        <w:rPr>
          <w:rFonts w:ascii="Adelle Sans;sans-serif" w:hAnsi="Adelle Sans;sans-serif"/>
          <w:b w:val="false"/>
          <w:color w:val="000000"/>
          <w:sz w:val="20"/>
        </w:rPr>
      </w:pPr>
      <w:r>
        <w:rPr>
          <w:rFonts w:ascii="Adelle Sans;sans-serif" w:hAnsi="Adelle Sans;sans-serif"/>
          <w:b w:val="false"/>
          <w:color w:val="000000"/>
          <w:sz w:val="20"/>
        </w:rPr>
        <w:t>These bylaws may be adopted, amended or repealed by the shareholders entitled in the manner specified in the certificate of formation. The Board shall have the power to make, alter and repeal the bylaws of the corporation, but bylaws made by the board may be altered or repealed, and new bylaws made by the shareholders.</w:t>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3286125" cy="57150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3286125" cy="5715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21,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601 State Street, Suite 400</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Southlake, Texas 76092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We have acted as counsel to Natural Gas Services Group, Inc., a Texas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which is the converted entity (for purposes of Title 1, Article 10, Subchapter C of the Texas Business Organizations Code) in the conversion of Natural Gas Services Group, Inc., a Colorado corporation (the “</w:t>
      </w:r>
      <w:r>
        <w:rPr>
          <w:rFonts w:ascii="Times New Roman;serif" w:hAnsi="Times New Roman;serif"/>
          <w:b w:val="false"/>
          <w:color w:val="000000"/>
          <w:sz w:val="20"/>
          <w:u w:val="single"/>
        </w:rPr>
        <w:t>Colorado Corporation</w:t>
      </w:r>
      <w:r>
        <w:rPr>
          <w:color w:val="000000"/>
        </w:rPr>
        <w:t>”</w:t>
      </w:r>
      <w:r>
        <w:rPr>
          <w:rFonts w:ascii="Times New Roman;serif" w:hAnsi="Times New Roman;serif"/>
          <w:b w:val="false"/>
          <w:color w:val="000000"/>
          <w:sz w:val="20"/>
        </w:rPr>
        <w:t>), into a Texas corporation (the “</w:t>
      </w:r>
      <w:r>
        <w:rPr>
          <w:rFonts w:ascii="Times New Roman;serif" w:hAnsi="Times New Roman;serif"/>
          <w:b w:val="false"/>
          <w:color w:val="000000"/>
          <w:sz w:val="20"/>
          <w:u w:val="single"/>
        </w:rPr>
        <w:t>Conversion</w:t>
      </w:r>
      <w:r>
        <w:rPr>
          <w:color w:val="000000"/>
        </w:rPr>
        <w:t>”</w:t>
      </w:r>
      <w:r>
        <w:rPr>
          <w:rFonts w:ascii="Times New Roman;serif" w:hAnsi="Times New Roman;serif"/>
          <w:b w:val="false"/>
          <w:color w:val="000000"/>
          <w:sz w:val="20"/>
        </w:rPr>
        <w:t>) pursuant to the Certificate of Conversion filed with the Texas Secretary of State, including the related Plan of Conversion (the “</w:t>
      </w:r>
      <w:r>
        <w:rPr>
          <w:rFonts w:ascii="Times New Roman;serif" w:hAnsi="Times New Roman;serif"/>
          <w:b w:val="false"/>
          <w:color w:val="000000"/>
          <w:sz w:val="20"/>
          <w:u w:val="single"/>
        </w:rPr>
        <w:t>Texas Certificate of Conversion</w:t>
      </w:r>
      <w:r>
        <w:rPr>
          <w:color w:val="000000"/>
        </w:rPr>
        <w:t>”</w:t>
      </w:r>
      <w:r>
        <w:rPr>
          <w:rFonts w:ascii="Times New Roman;serif" w:hAnsi="Times New Roman;serif"/>
          <w:b w:val="false"/>
          <w:color w:val="000000"/>
          <w:sz w:val="20"/>
        </w:rPr>
        <w:t>), and the Statement of Conversion filed with the Colorado Secretary of State, including the related Plan of Conversion (the “</w:t>
      </w:r>
      <w:r>
        <w:rPr>
          <w:rFonts w:ascii="Times New Roman;serif" w:hAnsi="Times New Roman;serif"/>
          <w:b w:val="false"/>
          <w:color w:val="000000"/>
          <w:sz w:val="20"/>
          <w:u w:val="single"/>
        </w:rPr>
        <w:t>Colorado Statement of Conversion</w:t>
      </w:r>
      <w:r>
        <w:rPr>
          <w:color w:val="000000"/>
        </w:rPr>
        <w:t>”</w:t>
      </w:r>
      <w:r>
        <w:rPr>
          <w:rFonts w:ascii="Times New Roman;serif" w:hAnsi="Times New Roman;serif"/>
          <w:b w:val="false"/>
          <w:color w:val="000000"/>
          <w:sz w:val="20"/>
        </w:rPr>
        <w:t>), in connection with the Company’s Registration Statements on Form S-8 (File Nos. 333-212411, 333-232269, 333-266100 and 333-288367) (collectively, the “</w:t>
      </w:r>
      <w:r>
        <w:rPr>
          <w:rFonts w:ascii="Times New Roman;serif" w:hAnsi="Times New Roman;serif"/>
          <w:b w:val="false"/>
          <w:color w:val="000000"/>
          <w:sz w:val="20"/>
          <w:u w:val="single"/>
        </w:rPr>
        <w:t>Registration Statements</w:t>
      </w:r>
      <w:r>
        <w:rPr>
          <w:color w:val="000000"/>
        </w:rPr>
        <w:t>”</w:t>
      </w:r>
      <w:r>
        <w:rPr>
          <w:rFonts w:ascii="Times New Roman;serif" w:hAnsi="Times New Roman;serif"/>
          <w:b w:val="false"/>
          <w:color w:val="000000"/>
          <w:sz w:val="20"/>
        </w:rPr>
        <w:t>), filed with the Securities and Exchange Commission on July 6, 2016, June 21, 2019, July 12, 2022 and June 27, 2025, respectively, relating to the registration under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of shares (the “</w:t>
      </w:r>
      <w:r>
        <w:rPr>
          <w:rFonts w:ascii="Times New Roman;serif" w:hAnsi="Times New Roman;serif"/>
          <w:b w:val="false"/>
          <w:color w:val="000000"/>
          <w:sz w:val="20"/>
          <w:u w:val="single"/>
        </w:rPr>
        <w:t>Shares</w:t>
      </w:r>
      <w:r>
        <w:rPr>
          <w:color w:val="000000"/>
        </w:rPr>
        <w:t>”</w:t>
      </w:r>
      <w:r>
        <w:rPr>
          <w:rFonts w:ascii="Times New Roman;serif" w:hAnsi="Times New Roman;serif"/>
          <w:b w:val="false"/>
          <w:color w:val="000000"/>
          <w:sz w:val="20"/>
        </w:rPr>
        <w:t>) of the Company’s common stock, par value $0.01 per share (the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issuable pursuant to the 1998 Stock Option Plan, as amended and restated, and the Natural Gas Services Group, Inc. 2019 Equity Incentive Plan, as amended (collectively, the “</w:t>
      </w:r>
      <w:r>
        <w:rPr>
          <w:rFonts w:ascii="Times New Roman;serif" w:hAnsi="Times New Roman;serif"/>
          <w:b w:val="false"/>
          <w:color w:val="000000"/>
          <w:sz w:val="20"/>
          <w:u w:val="single"/>
        </w:rPr>
        <w:t>Plans</w:t>
      </w:r>
      <w:r>
        <w:rPr>
          <w:color w:val="000000"/>
        </w:rPr>
        <w:t>”</w:t>
      </w:r>
      <w:r>
        <w:rPr>
          <w:rFonts w:ascii="Times New Roman;serif" w:hAnsi="Times New Roman;serif"/>
          <w:b w:val="false"/>
          <w:color w:val="000000"/>
          <w:sz w:val="20"/>
        </w:rPr>
        <w:t>). This opinion letter is being delivered at your request pursuant to the requirements of Item 601(b)(5) of Regulation S-K under the Securities Act.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In connection with this opinion letter, we have examined originals or copies, certified or otherwise identified to our satisfaction, of: (i) the Plans; (ii) the Registration Statements; (iii) the Company’s certificate of formation (the “</w:t>
      </w:r>
      <w:r>
        <w:rPr>
          <w:rFonts w:ascii="Times New Roman;serif" w:hAnsi="Times New Roman;serif"/>
          <w:b w:val="false"/>
          <w:color w:val="000000"/>
          <w:sz w:val="20"/>
          <w:u w:val="single"/>
        </w:rPr>
        <w:t>Certificate of Formation</w:t>
      </w:r>
      <w:r>
        <w:rPr>
          <w:color w:val="000000"/>
        </w:rPr>
        <w:t>”</w:t>
      </w:r>
      <w:r>
        <w:rPr>
          <w:rFonts w:ascii="Times New Roman;serif" w:hAnsi="Times New Roman;serif"/>
          <w:b w:val="false"/>
          <w:color w:val="000000"/>
          <w:sz w:val="20"/>
        </w:rPr>
        <w:t>) and the Company’s bylaws, each as currently in effect; (iv) the Texas Certificate of Conversion and the Colorado Statement of Conversion; and (v) such other documents and records (including resolutions of the Company’s Board of Directors and any committee thereof) as we have deemed necessary to enable us to render this opinion. In all such examinations, we have assumed, without independent verification, the genuineness of all signatures, the authenticity of all documents, certificates, and instruments submitted to us as originals and the conformity with the originals of all documents submitted to us as copies. We have also assumed without independent verification that (a) prior to the Conversion, the Colorado Corporation took all corporate action required under the laws of the State of Colorado to authorize the Plans and the performance by the Company of its obligations thereunder, including the issuance of Shares and (b) after any issuance of any Shares, the total number of issued and outstanding shares of Common Stock, together with the total number of shares of Common Stock then reserved for issuance or obligated to be issued by the Company pursuant to any agreement or arrangement, or otherwise, including pursuant to the Plans, will not exceed the total number of shares of Common Stock then authorized under the Certificate of Formation. We have, among other things, relied upon certificates of public officials and, as to various factual matters, certificates of officers of the Company, including the Texas Certificate of Conversion, certified by the Texas Secretary of State on July 21, 2026, the Colorado Statement of Conversion, certified by the Colorado Secretary of State on July 21, 2026, and a Certificate of Fact with respect to the Company’s existence as a corporation, certified by the Texas Secretary of State on July 21, 2026.</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and subject to the foregoing, we are of the opinion that the Shares covered by the Registration Statements, when issued and sold pursuant to the terms and conditions of the applicable Plan, and as contemplated in the applicable Registration Statement, will be validly issued, fully paid and nonassessable.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opinion is limited to the laws of the State of Texas, and we do not express any opinion herein concerning any other law.</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opinion herein is rendered as of the date of this opinion letter, and we disclaim any obligation to advise you of facts, circumstances, events or developments that hereafter may come to our attention and that may alter, affect or modify such opinion. No opinion is offered or implied as to any matter, and no inference may be drawn, beyond the strict scope of the specific issues expressly addressed by the opinion set forth herein.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letter as an exhibit to the Company’s Current Report on Form 8-K, incorporated by reference into the Registration Statements, and to the reference to our firm in the Registration Statements. In giving this consent, we do not admit that we are “experts” within the meaning of Section 11 of the Securities Act or within the category of persons whose consent is required by Section 7 of the Securities Act.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Jones &amp; Keller, P.C.</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INDEMNIFICATION AGREEMENT</w:t>
      </w:r>
    </w:p>
    <w:p>
      <w:pPr>
        <w:pStyle w:val="TextBody"/>
        <w:bidi w:val="0"/>
        <w:spacing w:lineRule="auto" w:line="288" w:before="0" w:after="120"/>
        <w:ind w:left="0" w:right="0" w:firstLine="720"/>
        <w:jc w:val="both"/>
        <w:rPr/>
      </w:pPr>
      <w:r>
        <w:rPr>
          <w:rFonts w:ascii="Times New Roman;serif" w:hAnsi="Times New Roman;serif"/>
          <w:b w:val="false"/>
          <w:color w:val="000000"/>
          <w:sz w:val="20"/>
        </w:rPr>
        <w:t>This Indemnification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entered into and is effective as of [________], 2026 by and between Natural Gas Services Group, Inc., a Texas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[____________] (the “</w:t>
      </w:r>
      <w:r>
        <w:rPr>
          <w:rFonts w:ascii="Times New Roman;serif" w:hAnsi="Times New Roman;serif"/>
          <w:b w:val="false"/>
          <w:color w:val="000000"/>
          <w:sz w:val="20"/>
          <w:u w:val="single"/>
        </w:rPr>
        <w:t>Indemnitee</w:t>
      </w:r>
      <w:r>
        <w:rPr>
          <w:color w:val="000000"/>
        </w:rPr>
        <w:t>”</w:t>
      </w:r>
      <w:r>
        <w:rPr>
          <w:rFonts w:ascii="Times New Roman;serif" w:hAnsi="Times New Roman;serif"/>
          <w:b w:val="false"/>
          <w:color w:val="000000"/>
          <w:sz w:val="20"/>
        </w:rPr>
        <w: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the Board of Directors of the Company (the “Board of Directors”) has determined that the inability to attract and retain qualified persons as directors and officers is detrimental to the best interests of the Company’s shareholders and that the Company should act to assure such persons that there shall be adequate certainty of protection through insurance and indemnification against risks of claims and actions against them arising out of their service to and activities on behalf of the Company;</w:t>
      </w:r>
    </w:p>
    <w:p>
      <w:pPr>
        <w:pStyle w:val="TextBody"/>
        <w:bidi w:val="0"/>
        <w:spacing w:lineRule="auto" w:line="288" w:before="0" w:after="120"/>
        <w:ind w:left="0" w:right="0" w:firstLine="720"/>
        <w:jc w:val="both"/>
        <w:rPr/>
      </w:pPr>
      <w:r>
        <w:rPr>
          <w:rFonts w:ascii="Times New Roman;serif" w:hAnsi="Times New Roman;serif"/>
          <w:b w:val="false"/>
          <w:color w:val="000000"/>
          <w:sz w:val="20"/>
        </w:rPr>
        <w:t>WHEREAS, the Company has adopted provisions in its Certificate of Formation (as amended and/or restated from time to time, the “</w:t>
      </w:r>
      <w:r>
        <w:rPr>
          <w:rFonts w:ascii="Times New Roman;serif" w:hAnsi="Times New Roman;serif"/>
          <w:b w:val="false"/>
          <w:color w:val="000000"/>
          <w:sz w:val="20"/>
          <w:u w:val="single"/>
        </w:rPr>
        <w:t>Certificate of Formation</w:t>
      </w:r>
      <w:r>
        <w:rPr>
          <w:color w:val="000000"/>
        </w:rPr>
        <w:t>”</w:t>
      </w:r>
      <w:r>
        <w:rPr>
          <w:rFonts w:ascii="Times New Roman;serif" w:hAnsi="Times New Roman;serif"/>
          <w:b w:val="false"/>
          <w:color w:val="000000"/>
          <w:sz w:val="20"/>
        </w:rPr>
        <w:t>) and Bylaws (as amended and/or restated from time to time, the “</w:t>
      </w:r>
      <w:r>
        <w:rPr>
          <w:rFonts w:ascii="Times New Roman;serif" w:hAnsi="Times New Roman;serif"/>
          <w:b w:val="false"/>
          <w:color w:val="000000"/>
          <w:sz w:val="20"/>
          <w:u w:val="single"/>
        </w:rPr>
        <w:t>Bylaws</w:t>
      </w:r>
      <w:r>
        <w:rPr>
          <w:color w:val="000000"/>
        </w:rPr>
        <w:t>”</w:t>
      </w:r>
      <w:r>
        <w:rPr>
          <w:rFonts w:ascii="Times New Roman;serif" w:hAnsi="Times New Roman;serif"/>
          <w:b w:val="false"/>
          <w:color w:val="000000"/>
          <w:sz w:val="20"/>
        </w:rPr>
        <w:t>) providing for indemnification and advancement of expenses of its directors and officers to the fullest extent permitted by the Texas Business Organizations Code (as the same exists or may hereafter be amended, the “</w:t>
      </w:r>
      <w:r>
        <w:rPr>
          <w:rFonts w:ascii="Times New Roman;serif" w:hAnsi="Times New Roman;serif"/>
          <w:b w:val="false"/>
          <w:color w:val="000000"/>
          <w:sz w:val="20"/>
          <w:u w:val="single"/>
        </w:rPr>
        <w:t>TBOC</w:t>
      </w:r>
      <w:r>
        <w:rPr>
          <w:color w:val="000000"/>
        </w:rPr>
        <w:t>”</w:t>
      </w:r>
      <w:r>
        <w:rPr>
          <w:rFonts w:ascii="Times New Roman;serif" w:hAnsi="Times New Roman;serif"/>
          <w:b w:val="false"/>
          <w:color w:val="000000"/>
          <w:sz w:val="20"/>
        </w:rPr>
        <w:t>), and the Company wishes to clarify and enhance the rights and obligations of the Company and the Indemnitee with respect to indemnification and advancement of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in order to induce and encourage highly experienced and capable persons such as the Indemnitee to serve and continue to serve as directors and officers of the Company and in any other capacity with respect to the Company as the Company may request, and to otherwise promote the desirable end that such persons shall resist what they consider unjustified lawsuits and claims made against them in connection with the good faith performance of their duties to the Company, with the knowledge that certain costs, judgments, penalties, fines, liabilities, and expenses incurred by them in their defense of such litigation are to be borne by the Company and they shall receive appropriate protection against such risks and liabilities, the Board of Directors has determined that the following Agreement is reasonable and prudent to promote and ensure the best interests of the Company and its shareholders; and</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WHEREAS, the Company desires to have the Indemnitee continue to serve as a director or officer of the Company and in any other capacity with respect to the Company as the Company may request, as the case may be, free from undue concern for unpredictable, inappropriate, or unreasonable legal risks and personal liabilities by reason of the Indemnitee acting in good faith in the performance of the Indemnitee’s duty to the Company; and the Indemnitee desires to continue so to serve the Company, </w:t>
      </w:r>
      <w:r>
        <w:rPr>
          <w:rFonts w:ascii="Times New Roman;serif" w:hAnsi="Times New Roman;serif"/>
          <w:b w:val="false"/>
          <w:color w:val="000000"/>
          <w:sz w:val="20"/>
          <w:u w:val="single"/>
        </w:rPr>
        <w:t>provided</w:t>
      </w:r>
      <w:r>
        <w:rPr>
          <w:rFonts w:ascii="Times New Roman;serif" w:hAnsi="Times New Roman;serif"/>
          <w:b w:val="false"/>
          <w:color w:val="000000"/>
          <w:sz w:val="20"/>
        </w:rPr>
        <w:t>, and on the express condition, that he or she is furnished with the protections set forth hereinafter.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Indemnitee’s continued service as a director or officer of the Company, the parties hereto agree as follows:</w:t>
      </w:r>
    </w:p>
    <w:p>
      <w:pPr>
        <w:pStyle w:val="TextBody"/>
        <w:bidi w:val="0"/>
        <w:spacing w:lineRule="auto" w:line="288" w:before="0" w:after="12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this Agreement:</w:t>
      </w:r>
    </w:p>
    <w:p>
      <w:pPr>
        <w:pStyle w:val="TextBody"/>
        <w:bidi w:val="0"/>
        <w:spacing w:lineRule="auto" w:line="288" w:before="0" w:after="12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A “</w:t>
      </w:r>
      <w:r>
        <w:rPr>
          <w:rFonts w:ascii="Times New Roman;serif" w:hAnsi="Times New Roman;serif"/>
          <w:b w:val="false"/>
          <w:color w:val="000000"/>
          <w:sz w:val="20"/>
          <w:u w:val="single"/>
        </w:rPr>
        <w:t>Change in Control</w:t>
      </w:r>
      <w:r>
        <w:rPr>
          <w:color w:val="000000"/>
        </w:rPr>
        <w:t xml:space="preserve">” </w:t>
      </w:r>
      <w:r>
        <w:rPr>
          <w:rFonts w:ascii="Times New Roman;serif" w:hAnsi="Times New Roman;serif"/>
          <w:b w:val="false"/>
          <w:color w:val="000000"/>
          <w:sz w:val="20"/>
        </w:rPr>
        <w:t>will be deemed to have occurred if, with respect to any particular 24-month period, the individuals who, at the beginning of such 24-month period, constituted the Board of Directors (the “</w:t>
      </w:r>
      <w:r>
        <w:rPr>
          <w:rFonts w:ascii="Times New Roman;serif" w:hAnsi="Times New Roman;serif"/>
          <w:b w:val="false"/>
          <w:color w:val="000000"/>
          <w:sz w:val="20"/>
          <w:u w:val="single"/>
        </w:rPr>
        <w:t>Incumbent Board</w:t>
      </w:r>
      <w:r>
        <w:rPr>
          <w:color w:val="000000"/>
        </w:rPr>
        <w:t>”</w:t>
      </w:r>
      <w:r>
        <w:rPr>
          <w:rFonts w:ascii="Times New Roman;serif" w:hAnsi="Times New Roman;serif"/>
          <w:b w:val="false"/>
          <w:color w:val="000000"/>
          <w:sz w:val="20"/>
        </w:rPr>
        <w:t xml:space="preserve">) cease for any reason to constitute at least a majority of the Board of Directors;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any individual becoming a director subsequent to the beginning of such 24-month period whose election or appointment, or nomination for election by the shareholders of the Company, was approved or ratified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pStyle w:val="TextBody"/>
        <w:bidi w:val="0"/>
        <w:spacing w:lineRule="auto" w:line="288" w:before="0" w:after="120"/>
        <w:ind w:left="0" w:right="0" w:firstLine="1440"/>
        <w:jc w:val="both"/>
        <w:rPr/>
      </w:pPr>
      <w:r>
        <w:rPr>
          <w:rFonts w:ascii="Times New Roman;serif" w:hAnsi="Times New Roman;serif"/>
          <w:b w:val="false"/>
          <w:color w:val="000000"/>
          <w:sz w:val="20"/>
        </w:rPr>
        <w:t>(b)</w:t>
      </w:r>
      <w:r>
        <w:rPr>
          <w:color w:val="000000"/>
        </w:rPr>
        <w:t>“</w:t>
      </w:r>
      <w:r>
        <w:rPr>
          <w:rFonts w:ascii="Times New Roman;serif" w:hAnsi="Times New Roman;serif"/>
          <w:b w:val="false"/>
          <w:color w:val="000000"/>
          <w:sz w:val="20"/>
          <w:u w:val="single"/>
        </w:rPr>
        <w:t>Disinterested Director</w:t>
      </w:r>
      <w:r>
        <w:rPr>
          <w:color w:val="000000"/>
        </w:rPr>
        <w:t xml:space="preserve">” </w:t>
      </w:r>
      <w:r>
        <w:rPr>
          <w:rFonts w:ascii="Times New Roman;serif" w:hAnsi="Times New Roman;serif"/>
          <w:b w:val="false"/>
          <w:color w:val="000000"/>
          <w:sz w:val="20"/>
        </w:rPr>
        <w:t>means a director of the Company who is a “disinterested person” and an “independent person” as defined in the TBOC.</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erif" w:hAnsi="Times New Roman;serif"/>
          <w:b w:val="false"/>
          <w:color w:val="000000"/>
          <w:sz w:val="20"/>
        </w:rPr>
        <w:t>(c)</w:t>
      </w:r>
      <w:r>
        <w:rPr>
          <w:color w:val="000000"/>
        </w:rPr>
        <w:t>“</w:t>
      </w:r>
      <w:r>
        <w:rPr>
          <w:rFonts w:ascii="Times New Roman;serif" w:hAnsi="Times New Roman;serif"/>
          <w:b w:val="false"/>
          <w:color w:val="000000"/>
          <w:sz w:val="20"/>
          <w:u w:val="single"/>
        </w:rPr>
        <w:t>Expenses</w:t>
      </w:r>
      <w:r>
        <w:rPr>
          <w:color w:val="000000"/>
        </w:rPr>
        <w:t xml:space="preserve">” </w:t>
      </w:r>
      <w:r>
        <w:rPr>
          <w:rFonts w:ascii="Times New Roman;serif" w:hAnsi="Times New Roman;serif"/>
          <w:b w:val="false"/>
          <w:color w:val="000000"/>
          <w:sz w:val="20"/>
        </w:rPr>
        <w:t>includes, without limitation, expenses incurred in connection with the defense or settlement of, or participation in, any action, suit, arbitration, alternative dispute resolution mechanism, investigation, inquiry, judicial, administrative, or legislative hearing, or any other threatened, pending, or completed proceeding, whether brought by or in the right of the Company or otherwise, including any and all appeals thereof, whether of a civil, criminal, administrative, legislative, investigative, or other nature, including all reasonable and documented attorneys’ fees, court costs, transcript costs, fees of experts, witness fees and expenses, travel expenses, duplicating costs, printing and binding costs, telephone charges, postage, delivery service fees, fees and expenses of accountants and other advisors, retainers and disbursements and advances thereon, the premium, security for, and other costs relating to any bond (including cost bonds, appraisal bonds, supersedeas bonds, other appeal bonds or their equivalents), any federal, state, local or foreign taxes imposed on the Indemnitee as a result of the actual or deemed receipt of any payments under this Agreement, and any expenses of establishing a right to indemnification or advancement under Sections 9, 11, 13, and 16 hereof, but shall not include the amount of judgments, fines, ERISA excise taxes, or penalties actually levied against the Indemnitee, or any amounts paid in settlement by or on behalf of the Indemnitee.</w:t>
      </w:r>
    </w:p>
    <w:p>
      <w:pPr>
        <w:pStyle w:val="TextBody"/>
        <w:bidi w:val="0"/>
        <w:spacing w:lineRule="auto" w:line="288" w:before="0" w:after="120"/>
        <w:ind w:left="0" w:right="0" w:firstLine="1440"/>
        <w:jc w:val="both"/>
        <w:rPr/>
      </w:pPr>
      <w:r>
        <w:rPr>
          <w:rFonts w:ascii="Times New Roman;serif" w:hAnsi="Times New Roman;serif"/>
          <w:b w:val="false"/>
          <w:color w:val="000000"/>
          <w:sz w:val="20"/>
        </w:rPr>
        <w:t>(d)</w:t>
      </w:r>
      <w:r>
        <w:rPr>
          <w:color w:val="000000"/>
        </w:rPr>
        <w:t>“</w:t>
      </w:r>
      <w:r>
        <w:rPr>
          <w:rFonts w:ascii="Times New Roman;serif" w:hAnsi="Times New Roman;serif"/>
          <w:b w:val="false"/>
          <w:color w:val="000000"/>
          <w:sz w:val="20"/>
          <w:u w:val="single"/>
        </w:rPr>
        <w:t>Independent Counsel</w:t>
      </w:r>
      <w:r>
        <w:rPr>
          <w:color w:val="000000"/>
        </w:rPr>
        <w:t xml:space="preserve">” </w:t>
      </w:r>
      <w:r>
        <w:rPr>
          <w:rFonts w:ascii="Times New Roman;serif" w:hAnsi="Times New Roman;serif"/>
          <w:b w:val="false"/>
          <w:color w:val="000000"/>
          <w:sz w:val="20"/>
        </w:rPr>
        <w:t>means a law firm or a partner or member of a law firm, as applicable, that is experienced in matters of Texas corporation law and neither is presently nor in the past three years has been retained to represent (i) the Company or the Indemnitee in any matter material to either such party (other than with respect to matters concerning the Indemnitee under this Agreement, or other indemnitees under similar indemnification agreements) or (ii) any other party to the Proceeding giving rise to a request for indemnification hereunder. Notwithstanding the foregoing, the term “Independent Counsel” shall not include any person who, under the applicable standards of professional conduct then prevailing, would have a conflict of interest in representing either the Company or the Indemnitee in an action to determine the Indemnitee’s right to indemnification under this Agreement. The Company agrees to pay the reasonable fees and expenses of the Independent Counsel and to fully indemnify such counsel against any and all expenses, claims, liabilities and damages arising out of or relating to this Agreement or its engagement pursuant hereto.</w:t>
      </w:r>
    </w:p>
    <w:p>
      <w:pPr>
        <w:pStyle w:val="TextBody"/>
        <w:bidi w:val="0"/>
        <w:spacing w:lineRule="auto" w:line="288" w:before="0" w:after="120"/>
        <w:ind w:left="0" w:right="0" w:firstLine="1440"/>
        <w:jc w:val="both"/>
        <w:rPr/>
      </w:pPr>
      <w:r>
        <w:rPr>
          <w:rFonts w:ascii="Times New Roman;serif" w:hAnsi="Times New Roman;serif"/>
          <w:b w:val="false"/>
          <w:color w:val="000000"/>
          <w:sz w:val="20"/>
        </w:rPr>
        <w:t>(e)</w:t>
      </w:r>
      <w:r>
        <w:rPr>
          <w:color w:val="000000"/>
        </w:rPr>
        <w:t>“</w:t>
      </w:r>
      <w:r>
        <w:rPr>
          <w:rFonts w:ascii="Times New Roman;serif" w:hAnsi="Times New Roman;serif"/>
          <w:b w:val="false"/>
          <w:color w:val="000000"/>
          <w:sz w:val="20"/>
          <w:u w:val="single"/>
        </w:rPr>
        <w:t>Proceeding</w:t>
      </w:r>
      <w:r>
        <w:rPr>
          <w:color w:val="000000"/>
        </w:rPr>
        <w:t xml:space="preserve">” </w:t>
      </w:r>
      <w:r>
        <w:rPr>
          <w:rFonts w:ascii="Times New Roman;serif" w:hAnsi="Times New Roman;serif"/>
          <w:b w:val="false"/>
          <w:color w:val="000000"/>
          <w:sz w:val="20"/>
        </w:rPr>
        <w:t>means any action, suit, arbitration, alternative dispute resolution mechanism, investigation, inquiry, judicial, administrative, or legislative hearing, or any other threatened, pending, or completed proceeding, whether brought by or in the right of the Company or otherwise, including any and all appeals, whether of a civil, criminal, administrative, legislative, investigative, or other nature, to which the Indemnitee was or is a party or is threatened to be made a party or is otherwise involved in by reason of the fact that the Indemnitee is or was a director, officer, employee, agent, or trustee of the Company or while a director, officer, manager, employee, agent, or trustee of the Company is or was serving at the request of the Company as a director, officer, employee, agent, or trustee of another corporation or of a partnership, joint venture, limited liability company, trust, or other enterprise, including service with respect to an employee benefit plan, or by reason of anything done or not done by the Indemnitee in any such capacity, whether or not the Indemnitee is serving in such capacity at the time any expense, liability, or loss is incurred for which indemnification or advancement can be provided under this Agreement.</w:t>
      </w:r>
    </w:p>
    <w:p>
      <w:pPr>
        <w:pStyle w:val="TextBody"/>
        <w:bidi w:val="0"/>
        <w:spacing w:lineRule="auto" w:line="288" w:before="0" w:after="12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Service by the Indemnitee</w:t>
      </w:r>
      <w:r>
        <w:rPr>
          <w:rFonts w:ascii="Times New Roman;serif" w:hAnsi="Times New Roman;serif"/>
          <w:b w:val="false"/>
          <w:color w:val="000000"/>
          <w:sz w:val="20"/>
        </w:rPr>
        <w:t>. The Indemnitee shall serve and/or continue to serve as a director or officer of the Company faithfully and to the best of the Indemnitee’s ability so long as the Indemnitee is duly elected or appointed and until such time as the Indemnitee’s successor is elected and qualified or the Indemnitee is removed as permitted by applicable law or tenders a resignation in writing.</w:t>
      </w:r>
    </w:p>
    <w:p>
      <w:pPr>
        <w:pStyle w:val="TextBody"/>
        <w:bidi w:val="0"/>
        <w:spacing w:lineRule="auto" w:line="288" w:before="0" w:after="12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Indemnification and Advancement of Expenses</w:t>
      </w:r>
      <w:r>
        <w:rPr>
          <w:rFonts w:ascii="Times New Roman;serif" w:hAnsi="Times New Roman;serif"/>
          <w:b w:val="false"/>
          <w:color w:val="000000"/>
          <w:sz w:val="20"/>
        </w:rPr>
        <w:t>. The Company shall indemnify and hold harmless the Indemnitee, and shall pay to or on behalf of the Indemnitee in advance of the final disposition of any Proceeding all Expenses incurred by the Indemnitee in defending any such Proceeding, to the fullest extent permitted by the TBOC, as the same exists or may hereafter be amended, all on the terms and conditions set forth in this Agreement. The rights of the Indemnitee to indemnification and advancement of Expenses provided hereunder shall include but shall not be limited to those rights hereinafter set forth, except that no indemnification or advancement of Expenses shall be paid to the Indemnitee:</w:t>
      </w:r>
    </w:p>
    <w:p>
      <w:pPr>
        <w:pStyle w:val="TextBody"/>
        <w:bidi w:val="0"/>
        <w:spacing w:lineRule="auto" w:line="288" w:before="0" w:after="12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to the extent expressly prohibited by applicable law, the Certificate of Formation, or the Bylaws;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 xml:space="preserve">for and to the extent that payment is actually made to the Indemnitee under a valid and collectible insurance policy or under a valid and enforceable indemnity clause, provision of the Certificate of Formation or Bylaws, or agreement of the Company or any other company or other enterprise (and the Indemnitee shall reimburse the Company for any amounts paid by the Company and subsequently so recovered by the Indemnitee); </w:t>
      </w:r>
    </w:p>
    <w:p>
      <w:pPr>
        <w:pStyle w:val="TextBody"/>
        <w:bidi w:val="0"/>
        <w:spacing w:lineRule="auto" w:line="288" w:before="0" w:after="12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 xml:space="preserve">for an accounting or disgorgement of profits pursuant to Section 16(b) of the Securities Exchange Act of 1934, as amended (the “Exchange Act”), or similar provisions of federal, state or local statutory law or common law, if such person is held liable therefor (including pursuant to any settlement arrangements); </w:t>
      </w:r>
    </w:p>
    <w:p>
      <w:pPr>
        <w:pStyle w:val="TextBody"/>
        <w:bidi w:val="0"/>
        <w:spacing w:lineRule="auto" w:line="288" w:before="0" w:after="12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for any reimbursement of the Company by such person of any bonus or other incentive-based or equity-based compensation or of any profits realized by such person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such person of securities in violation of Section 306 of the Sarbanes-Oxley Act), if such person is held liable therefor (including pursuant to any settlement arrangements);</w:t>
      </w:r>
    </w:p>
    <w:p>
      <w:pPr>
        <w:pStyle w:val="TextBody"/>
        <w:bidi w:val="0"/>
        <w:spacing w:lineRule="auto" w:line="288" w:before="0" w:after="12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in connection with an action, suit, or proceeding, or part thereof, voluntarily initiated by the Indemnitee (including claims and counterclaims, whether such counterclaims are asserted by (i) the Indemnitee, or (ii) the Company in an action, suit, or proceeding initiated by the Indemnitee), except a judicial proceeding or arbitration pursuant to Section 11 to enforce rights under this Agreement, unless the action, suit, or proceeding, or part thereof, was authorized or ratified by the Board of Directors or the Board of Directors otherwise determines that indemnification or advancement of Expenses is appropriate; or</w:t>
      </w:r>
    </w:p>
    <w:p>
      <w:pPr>
        <w:pStyle w:val="TextBody"/>
        <w:bidi w:val="0"/>
        <w:spacing w:lineRule="auto" w:line="288" w:before="0" w:after="12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rPr>
        <w:t>with respect to any Proceeding brought by or in the right of the Company against the Indemnitee that is authorized by the Board of Directors, except as provided in Sections 5, 6 and 7 below.</w:t>
      </w:r>
    </w:p>
    <w:p>
      <w:pPr>
        <w:pStyle w:val="TextBody"/>
        <w:bidi w:val="0"/>
        <w:spacing w:lineRule="auto" w:line="288" w:before="0" w:after="12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Action or Proceedings Other than an Action by or in the Right of the Company</w:t>
      </w:r>
      <w:r>
        <w:rPr>
          <w:rFonts w:ascii="Times New Roman;serif" w:hAnsi="Times New Roman;serif"/>
          <w:b w:val="false"/>
          <w:color w:val="000000"/>
          <w:sz w:val="20"/>
        </w:rPr>
        <w:t>. Except as limited by Section 3 above, the Indemnitee shall be entitled to the indemnification rights provided in this Section if the Indemnitee was or is a party or is threatened to be made a party to, or was or is otherwise involved in, any Proceeding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Pursuant to this Section, the Indemnitee shall be indemnified against all expense, liability, and loss (including judgments, fines, ERISA excise taxes, penalties, amounts paid in settlement by or on behalf of the Indemnitee, and Expenses) actually and reasonably incurred by the Indemnitee in connection with such Proceeding, if the Indemnitee acted in good faith and in a manner the Indemnitee reasonably believed to be in or not opposed to the best interests of the Company, and with respect to any criminal Proceeding, had no reasonable cause to believe his or her conduct was unlawful.</w:t>
      </w:r>
    </w:p>
    <w:p>
      <w:pPr>
        <w:pStyle w:val="TextBody"/>
        <w:bidi w:val="0"/>
        <w:spacing w:lineRule="auto" w:line="288" w:before="0" w:after="12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Indemnity in Proceedings by or in the Right of the Company</w:t>
      </w:r>
      <w:r>
        <w:rPr>
          <w:rFonts w:ascii="Times New Roman;serif" w:hAnsi="Times New Roman;serif"/>
          <w:b w:val="false"/>
          <w:color w:val="000000"/>
          <w:sz w:val="20"/>
        </w:rPr>
        <w:t xml:space="preserve">. Except as limited by Section 3 above, the Indemnitee shall be entitled to the indemnification rights provided in this Section if the Indemnitee was or is a party or is threatened to be made a party to, or was or is otherwise involved in, any Proceeding brought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Pursuant to this Section, the Indemnitee shall be indemnified against all Expenses actually and reasonably incurred by the Indemnitee in connection with such Proceeding, or any claim, issue or matter therein, if the Indemnitee acted in good faith and in a manner the Indemnitee reasonably believed to be in or not opposed to the best interests of the Company;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no such indemnification shall be made in respect of any claim, issue, or matter as to which the TBOC expressly prohibits such indemnification by reason of any adjudication of liability of the Indemnitee to the Company, unless and only to the extent that the Texas Business Court in the First Division of the Texas Business Court (the “</w:t>
      </w:r>
      <w:r>
        <w:rPr>
          <w:rFonts w:ascii="Times New Roman;serif" w:hAnsi="Times New Roman;serif"/>
          <w:b w:val="false"/>
          <w:color w:val="000000"/>
          <w:sz w:val="20"/>
          <w:u w:val="single"/>
        </w:rPr>
        <w:t>Texas Business Court</w:t>
      </w:r>
      <w:r>
        <w:rPr>
          <w:color w:val="000000"/>
        </w:rPr>
        <w:t>”</w:t>
      </w:r>
      <w:r>
        <w:rPr>
          <w:rFonts w:ascii="Times New Roman;serif" w:hAnsi="Times New Roman;serif"/>
          <w:b w:val="false"/>
          <w:color w:val="000000"/>
          <w:sz w:val="20"/>
        </w:rPr>
        <w:t>) or the court in which such Proceeding was brought shall determine upon application that, despite the adjudication of liability but in view of all the circumstances of the case, the Indemnitee is fairly and reasonably entitled to indemnification for such Expenses as such court shall deem proper.</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Indemnification for Costs, Charges, and Expenses of Successful Party</w:t>
      </w:r>
      <w:r>
        <w:rPr>
          <w:rFonts w:ascii="Times New Roman;serif" w:hAnsi="Times New Roman;serif"/>
          <w:b w:val="false"/>
          <w:color w:val="000000"/>
          <w:sz w:val="20"/>
        </w:rPr>
        <w:t>. Notwithstanding any limitations of any other provision of this Agreement, including Section 3(e), Section 3(f), Section 4, and Section 5 above, to the extent that the Indemnitee has been successful, on the merits or otherwise, in whole or in part, in defense of any Proceeding, or in defense of any claim, issue, or matter therein, including, without limitation, the dismissal of any action without prejudice, or if it is ultimately determined, by final judicial decision of a court of competent jurisdiction from which there is no further right to appeal, that the Indemnitee is otherwise entitled to be indemnified against Expenses, the Indemnitee shall be indemnified against all Expenses actually and reasonably incurred by the Indemnitee in connection therewith. Indemnification under this Section 6 shall not be subject to satisfaction of any standard of conduct, and the Company may not assert the failure to satisfy a standard of conduct as a basis to deny indemnification or recover Expenses advanced, including in a suit brought pursuant to Section 11 hereof.</w:t>
      </w:r>
    </w:p>
    <w:p>
      <w:pPr>
        <w:pStyle w:val="TextBody"/>
        <w:bidi w:val="0"/>
        <w:spacing w:lineRule="auto" w:line="288" w:before="0" w:after="120"/>
        <w:ind w:left="0" w:right="0" w:firstLine="72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Partial Indemnification</w:t>
      </w:r>
      <w:r>
        <w:rPr>
          <w:rFonts w:ascii="Times New Roman;serif" w:hAnsi="Times New Roman;serif"/>
          <w:b w:val="false"/>
          <w:color w:val="000000"/>
          <w:sz w:val="20"/>
        </w:rPr>
        <w:t>. If the Indemnitee is entitled under any provision of this Agreement to indemnification by the Company for some or a portion of the expense, liability, and loss (including judgments, fines, ERISA excise taxes, penalties, amounts paid in settlement by or on behalf of the Indemnitee, and Expenses) actually and reasonably incurred in connection with any Proceeding, or in connection with any judicial proceeding or arbitration pursuant to Section 11 to enforce rights under this Agreement, but not, however, for all of the total amount thereof, the Company shall nevertheless indemnify the Indemnitee for the portion of such expense, liability, and loss actually and reasonably incurred to which the Indemnitee is entitled.</w:t>
      </w:r>
    </w:p>
    <w:p>
      <w:pPr>
        <w:pStyle w:val="TextBody"/>
        <w:bidi w:val="0"/>
        <w:spacing w:lineRule="auto" w:line="288" w:before="0" w:after="120"/>
        <w:ind w:left="0" w:right="0" w:firstLine="72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Indemnification for Expenses as a Witness</w:t>
      </w:r>
      <w:r>
        <w:rPr>
          <w:rFonts w:ascii="Times New Roman;serif" w:hAnsi="Times New Roman;serif"/>
          <w:b w:val="false"/>
          <w:color w:val="000000"/>
          <w:sz w:val="20"/>
        </w:rPr>
        <w:t>. Notwithstanding any other provision of this Agreement, to the maximum extent permitted by the TBOC, the Indemnitee shall be entitled to indemnification against all Expenses actually and reasonably incurred by the Indemnitee or on the Indemnitee’s behalf if the Indemnitee appears as a witness or otherwise incurs legal expenses as a result of or related to the Indemnitee’s official capacity in any Proceeding to which the Indemnitee neither is, nor is threatened to be made, a party.</w:t>
      </w:r>
    </w:p>
    <w:p>
      <w:pPr>
        <w:pStyle w:val="TextBody"/>
        <w:bidi w:val="0"/>
        <w:spacing w:lineRule="auto" w:line="288" w:before="0" w:after="120"/>
        <w:ind w:left="0" w:right="0" w:firstLine="72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Determination of Entitlement to Indemnification</w:t>
      </w:r>
      <w:r>
        <w:rPr>
          <w:rFonts w:ascii="Times New Roman;serif" w:hAnsi="Times New Roman;serif"/>
          <w:b w:val="false"/>
          <w:color w:val="000000"/>
          <w:sz w:val="20"/>
        </w:rPr>
        <w:t xml:space="preserve">. To receive indemnification under this Agreement, the Indemnitee shall submit a written request to the Secretary of the Company. Such request shall include documentation or information that is necessary for such determination and is reasonably available to the Indemnitee, but in no case shall the Indemnitee be required to convey any information that would cause the Indemnitee to waive any privilege accorded by applicable law. Upon receipt by the Secretary of the Company of a written request by the Indemnitee for indemnification, the entitlement of the Indemnitee to indemnification, to the extent not required pursuant to the terms of Section 6 or Section 8 of this Agreement, shall be determined by the following person or persons who shall be empowered to make such determination (as selected by the Board of Directors, except with respect to Section 9(d) and Section 9(f) below): (a) the Board of Directors by a majority vote of Disinterested Directors, whether or not such majority constitutes a quorum; (b) a committee of Disinterested Directors designated by a majority vote of all Disinterested Directors, whether or not such majority constitutes a quorum; (c) Independent Counsel, selected by the Board of Directors or a committee of the Board of Directors by a vote in accordance with Section 9(a) or 9(b), in a written opinion to the Board of Directors, a copy of which shall be delivered to the Indemnitee; (d) if there are no Disinterested Directors, Independent Counsel in a written opinion to the Board of Directors, a copy of which shall be delivered to the Indemnitee; (e) the shareholders of the Company in a vote that excludes the voting power of each director that is not a Disinterested Director; or (f) in the event that a Change in Control has occurred, by Independent Counsel in a written opinion to the Board of Directors, a copy of which shall be delivered to the Indemnitee. For purposes of Section 9(d), such Independent Counsel shall be selected by the Board of Directors and approved by the Indemnitee. For purposes of Section 9(f), such Independent Counsel shall be selected by the Indemnitee. Upon failure of the Board of Directors so to select such Independent Counsel or upon failure of the Indemnitee so to approve or so to select, in the event a Change in Control has occurred, such Independent Counsel shall be selected upon application to a court of competent jurisdiction. The determination of entitlement to indemnification shall be made and, unless a contrary determination is made, such indemnification shall be paid in full by the Company not later than 90 calendar days after receipt by the Secretary of the Company of a written request for indemnification. If the person making such determination shall determine that the Indemnitee is entitled to indemnification as to part (but not all) of the application for indemnification, such person shall reasonably prorate such partial indemnification among the claims, issues, or matters at issue at the time of the determination. The Indemnitee shall cooperate with the determination with respect to such Indemnitee’s entitlement to indemnification, including providing, upon reasonable advance request, any documentation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which is not privileged or otherwise protected from disclosure and which is reasonably available to the Indemnitee and reasonably necessary for such determination. Any costs or expenses (including attorneys’ fees and disbursements) incurred by the Indemnitee in so cooperating shall, to the fullest extent permitted by applicable law, be borne by the Company (irrespective of the determination as to the Indemnitee’s entitlement to indemnification) and the Company hereby indemnifies and agrees to hold the Indemnitee harmless therefrom.</w:t>
      </w:r>
    </w:p>
    <w:p>
      <w:pPr>
        <w:pStyle w:val="TextBody"/>
        <w:bidi w:val="0"/>
        <w:spacing w:lineRule="auto" w:line="288" w:before="0" w:after="120"/>
        <w:ind w:left="0" w:right="0" w:firstLine="720"/>
        <w:jc w:val="both"/>
        <w:rPr/>
      </w:pPr>
      <w:r>
        <w:rPr>
          <w:rFonts w:ascii="Times New Roman;serif" w:hAnsi="Times New Roman;serif"/>
          <w:b w:val="false"/>
          <w:color w:val="000000"/>
          <w:sz w:val="20"/>
        </w:rPr>
        <w:t>10.</w:t>
      </w:r>
      <w:r>
        <w:rPr>
          <w:rFonts w:ascii="Times New Roman;serif" w:hAnsi="Times New Roman;serif"/>
          <w:b w:val="false"/>
          <w:color w:val="000000"/>
          <w:sz w:val="20"/>
          <w:u w:val="single"/>
        </w:rPr>
        <w:t>Presumptions and Effect of Certain Proceedings</w:t>
      </w:r>
      <w:r>
        <w:rPr>
          <w:rFonts w:ascii="Times New Roman;serif" w:hAnsi="Times New Roman;serif"/>
          <w:b w:val="false"/>
          <w:color w:val="000000"/>
          <w:sz w:val="20"/>
        </w:rPr>
        <w:t xml:space="preserve">. The Secretary of the Company shall, promptly upon receipt of the Indemnitee’s written request for indemnification, advise in writing the Board of Directors or such other person or persons empowered to make the determination as provided in Section 9 that the Indemnitee has made such request for indemnification. Upon making such request for indemnification, the Indemnitee shall be presumed to be entitled to indemnification hereunder and the Company shall have the burden of proof in making any determination contrary to such presumption. If the person or persons so empowered to make such determination shall have failed to make the requested determination with respect to indemnification within 60 calendar days after receipt by the Secretary of the Company of such request, then, to the fullest extent not prohibited by applicable law, a requisite determination of entitlement to indemnification shall be deemed to have been made and the Indemnitee shall be absolutely entitled to such indemnification, absent actual fraud in the request for indemnification. The termination of any Proceeding or of any claim, issue or matter therein, by judgment, order, settlement, or conviction, or upon a plea of guilty, </w:t>
      </w:r>
      <w:r>
        <w:rPr>
          <w:rFonts w:ascii="Times New Roman;serif" w:hAnsi="Times New Roman;serif"/>
          <w:b w:val="false"/>
          <w:i/>
          <w:color w:val="000000"/>
          <w:sz w:val="20"/>
        </w:rPr>
        <w:t>nolo contendere</w:t>
      </w:r>
      <w:r>
        <w:rPr>
          <w:color w:val="000000"/>
        </w:rPr>
        <w:t xml:space="preserve"> </w:t>
      </w:r>
      <w:r>
        <w:rPr>
          <w:rFonts w:ascii="Times New Roman;serif" w:hAnsi="Times New Roman;serif"/>
          <w:b w:val="false"/>
          <w:color w:val="000000"/>
          <w:sz w:val="20"/>
        </w:rPr>
        <w:t>or its equivalent, shall not, of itself (a) create a presumption that the Indemnitee did not act in good faith and in a manner the Indemnitee reasonably believed to be in or not opposed to the best interests of the Company, and with respect to any criminal Proceeding, had reasonable cause to believe his or her conduct was unlawful or (b) otherwise adversely affect the rights of the Indemnitee to indemnification, in each case, except as may be provided herein.</w:t>
      </w:r>
    </w:p>
    <w:p>
      <w:pPr>
        <w:pStyle w:val="TextBody"/>
        <w:bidi w:val="0"/>
        <w:spacing w:lineRule="auto" w:line="288" w:before="0" w:after="120"/>
        <w:ind w:left="0" w:right="0" w:firstLine="72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Remedies of the Indemnitee in Cases of Determination Not to Indemnify or to Advance Expenses; Right to Bring Suit</w:t>
      </w:r>
      <w:r>
        <w:rPr>
          <w:rFonts w:ascii="Times New Roman;serif" w:hAnsi="Times New Roman;serif"/>
          <w:b w:val="false"/>
          <w:color w:val="000000"/>
          <w:sz w:val="20"/>
        </w:rPr>
        <w:t xml:space="preserve">. In the event that a determination is made that the Indemnitee is not entitled to indemnification hereunder or if payment is not timely made following a determination of entitlement to indemnification pursuant to Sections 9 and 10, or if an advancement of Expenses is not timely made pursuant to Section 16, the Indemnitee may at any time thereafter bring suit against the Company seeking an adjudication of entitlement to such indemnification or advancement of Expenses. Alternatively, the Indemnitee at the Indemnitee’s option may seek an award in an arbitration to be conducted by a single arbitrator in the State of Texas pursuant to the Commercial Arbitration Rules of the American Arbitration Association, such award to be made within 60 calendar days following the filing of the demand for arbitration. The Company shall not oppose the Indemnitee’s right to seek any such adjudication or award in arbitration. In any suit or arbitration brought by the Indemnitee to enforce a right to indemnification hereunder (but not in a suit or arbitration brought by the Indemnitee to enforce a right to an advancement of Expenses), it shall be a defense that the Indemnitee has not met any applicable standard of conduct for indemnification set forth in this Agreement (including the standard described in Section 4 or 5, as applicable) or the TBOC. In any suit or arbitration brought by an Indemnitee who is not a director of the Company to enforce a right to an advancement of Expenses, it shall be a defense that the advancement of Expenses was properly denied pursuant to the terms of Section 16 hereof. Further, in any suit brought by the Company to recover an advancement of Expenses pursuant to the terms of an undertaking, the Company shall be entitled to recover such Expenses upon a final judicial decision of a court of competent jurisdiction from which there is no further right to appeal that the Indemnitee has not met the standard of conduct described above. Neither the failure of the Company (including the Disinterested Directors, a committee of Disinterested Directors, Independent Counsel, or its shareholders) to have made a determination prior to the commencement of such suit or arbitration that indemnification of the Indemnitee is proper in the circumstances because the Indemnitee has met the standard of conduct described above, nor an actual determination by the Company (including the Disinterested Directors, a committee of Disinterested Directors, Independent Counsel, or its shareholders) that the Indemnitee has not met the standard of conduct described above shall create a presumption that the Indemnitee has not met the standard of conduct described above, or, in the case of such a suit brought by the Indemnitee, be a defense to such suit. 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Section 11 or otherwise shall be on the Company. Absent a misstatement by the Indemnitee of a material fact, or an omission of a material fact necessary to make the Indemnitee’s statement not materially misleading, in connection with the request for indemnification, if a determination is made or deemed to have been made pursuant to the terms of Section 9 or 10 that the Indemnitee is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entitled to indemnification, the Company shall be bound by such determination and is precluded from asserting that such determination has not been made or that the procedure by which such determination was made is not valid, binding, and enforceable. The Company further agrees to stipulate in any court or before any arbitrator pursuant to this Section 11 that the Company is bound by all the provisions of this Agreement and is precluded from making any assertions to the contrary. If the court or arbitrator shall determine that the Indemnitee is entitled to any indemnification or advancement of Expenses hereunder, the Company shall indemnify the Indemnitee against all Expenses actually and reasonably incurred by the Indemnitee in connection with such adjudication or award in arbitration (including, but not limited to, any appellate proceedings) to the fullest extent permitted by law, and in any suit brought by the Company to recover an advancement of Expenses pursuant to the terms of an undertaking, the Company shall indemnify the Indemnitee against all Expenses actually and reasonably incurred by the Indemnitee in connection with such suit to the extent the Indemnitee has been successful, on the merits or otherwise, in whole or in part, in defense of such suit, to the fullest extent permitted by law.</w:t>
      </w:r>
    </w:p>
    <w:p>
      <w:pPr>
        <w:pStyle w:val="TextBody"/>
        <w:bidi w:val="0"/>
        <w:spacing w:lineRule="auto" w:line="288" w:before="0" w:after="120"/>
        <w:ind w:left="0" w:right="0" w:firstLine="72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Non-Exclusivity of Rights</w:t>
      </w:r>
      <w:r>
        <w:rPr>
          <w:rFonts w:ascii="Times New Roman;serif" w:hAnsi="Times New Roman;serif"/>
          <w:b w:val="false"/>
          <w:color w:val="000000"/>
          <w:sz w:val="20"/>
        </w:rPr>
        <w:t xml:space="preserve">. The rights to indemnification and to the advancement of Expenses provided by this Agreement shall not be deemed exclusive of any other right that the Indemnitee may now or hereafter acquire under any applicable law, agreement, vote of shareholders or Disinterested Directors, provisions of a charter or bylaws (including the Certificate of Formation or Bylaws of the Company), or otherwise. </w:t>
      </w:r>
    </w:p>
    <w:p>
      <w:pPr>
        <w:pStyle w:val="TextBody"/>
        <w:bidi w:val="0"/>
        <w:spacing w:lineRule="auto" w:line="288" w:before="0" w:after="120"/>
        <w:ind w:left="0" w:right="0" w:firstLine="720"/>
        <w:jc w:val="both"/>
        <w:rPr/>
      </w:pPr>
      <w:r>
        <w:rPr>
          <w:rFonts w:ascii="Times New Roman;serif" w:hAnsi="Times New Roman;serif"/>
          <w:b w:val="false"/>
          <w:color w:val="000000"/>
          <w:sz w:val="20"/>
        </w:rPr>
        <w:t>13.</w:t>
      </w:r>
      <w:r>
        <w:rPr>
          <w:rFonts w:ascii="Times New Roman;serif" w:hAnsi="Times New Roman;serif"/>
          <w:b w:val="false"/>
          <w:color w:val="000000"/>
          <w:sz w:val="20"/>
          <w:u w:val="single"/>
        </w:rPr>
        <w:t>Expenses for Disputes Relating to Agreement</w:t>
      </w:r>
      <w:r>
        <w:rPr>
          <w:rFonts w:ascii="Times New Roman;serif" w:hAnsi="Times New Roman;serif"/>
          <w:b w:val="false"/>
          <w:color w:val="000000"/>
          <w:sz w:val="20"/>
        </w:rPr>
        <w:t>. In the event that the Indemnitee is subject to or intervenes in any action, suit, or proceeding (i) in which the validity or enforceability of this Agreement is at issue or (ii) to recover damages for breach of, this Agreement, the Indemnitee, if the Indemnitee prevails in whole or in part in such action, suit, or proceeding, shall be entitled to recover from the Company and shall be indemnified by the Company against any Expenses actually and reasonably incurred by the Indemnitee in connection therewith.</w:t>
      </w:r>
    </w:p>
    <w:p>
      <w:pPr>
        <w:pStyle w:val="TextBody"/>
        <w:bidi w:val="0"/>
        <w:spacing w:lineRule="auto" w:line="288" w:before="0" w:after="120"/>
        <w:ind w:left="0" w:right="0" w:firstLine="720"/>
        <w:jc w:val="both"/>
        <w:rPr/>
      </w:pPr>
      <w:r>
        <w:rPr>
          <w:rFonts w:ascii="Times New Roman;serif" w:hAnsi="Times New Roman;serif"/>
          <w:b w:val="false"/>
          <w:color w:val="000000"/>
          <w:sz w:val="20"/>
        </w:rPr>
        <w:t>14.</w:t>
      </w:r>
      <w:r>
        <w:rPr>
          <w:rFonts w:ascii="Times New Roman;serif" w:hAnsi="Times New Roman;serif"/>
          <w:b w:val="false"/>
          <w:color w:val="000000"/>
          <w:sz w:val="20"/>
          <w:u w:val="single"/>
        </w:rPr>
        <w:t>Continuation of Indemnity</w:t>
      </w:r>
      <w:r>
        <w:rPr>
          <w:rFonts w:ascii="Times New Roman;serif" w:hAnsi="Times New Roman;serif"/>
          <w:b w:val="false"/>
          <w:color w:val="000000"/>
          <w:sz w:val="20"/>
        </w:rPr>
        <w:t>. All agreements and obligations of the Company contained herein shall continue during the period the Indemnitee is a director, officer, manager, employee, agent, or trustee of the Company or while a director, officer, manager, employee, agent, or trustee is serving at the request of the Company as a director, officer, manager, employee, agent, or trustee of another corporation or of a partnership, joint venture, limited liability company, trust, or other enterprise, including service with respect to an employee benefit plan, and shall continue thereafter with respect to any possible claims based on the fact that the Indemnitee was a director, officer, employee, agent, or trustee of the Company or, while a director, officer, manager, employee, agent or trustee of the Company, was serving at the request of the Company as a director, officer, manager, employee, agent, or trustee of another corporation or of a partnership, joint venture, limited liability company, trust, or other enterprise, including service with respect to an employee benefit plan. This Agreement shall be binding upon all successors and assigns of the Company (including any transferee of all or substantially all of its assets and any successor by merger or operation of law) and shall inure to the benefit of the Indemnitee’s heirs, executors, and administrators.</w:t>
      </w:r>
    </w:p>
    <w:p>
      <w:pPr>
        <w:pStyle w:val="TextBody"/>
        <w:bidi w:val="0"/>
        <w:spacing w:lineRule="auto" w:line="288" w:before="0" w:after="120"/>
        <w:ind w:left="0" w:right="0" w:firstLine="720"/>
        <w:jc w:val="both"/>
        <w:rPr/>
      </w:pPr>
      <w:r>
        <w:rPr>
          <w:rFonts w:ascii="Times New Roman;serif" w:hAnsi="Times New Roman;serif"/>
          <w:b w:val="false"/>
          <w:color w:val="000000"/>
          <w:sz w:val="20"/>
        </w:rPr>
        <w:t>15.</w:t>
      </w:r>
      <w:r>
        <w:rPr>
          <w:rFonts w:ascii="Times New Roman;serif" w:hAnsi="Times New Roman;serif"/>
          <w:b w:val="false"/>
          <w:color w:val="000000"/>
          <w:sz w:val="20"/>
          <w:u w:val="single"/>
        </w:rPr>
        <w:t>Notification and Defense of Proceeding</w:t>
      </w:r>
      <w:r>
        <w:rPr>
          <w:rFonts w:ascii="Times New Roman;serif" w:hAnsi="Times New Roman;serif"/>
          <w:b w:val="false"/>
          <w:color w:val="000000"/>
          <w:sz w:val="20"/>
        </w:rPr>
        <w:t>. Promptly after receipt by the Indemnitee of any summons, citation, subpoena, complaint, indictment, information or other document relating to notice of any Proceeding or matter which may be subject to indemnification or advancement as provided hereunder, the Indemnitee shall, if a request for indemnification or an advancement of Expenses in respect thereof is to be made against the Company under this Agreement, notify the Company in writing of the receipt thereof and include complete copies of any documents or materials received in connection therewith; but the omission so to notify the Company shall not relieve it from any liability that it may have to the Indemnitee. Notwithstanding any other provision of this Agreement, the Certificate of Formation or the Bylaws, with respect to any such Proceeding of which the Indemnitee notifies the Company:</w:t>
      </w:r>
    </w:p>
    <w:p>
      <w:pPr>
        <w:pStyle w:val="TextBody"/>
        <w:bidi w:val="0"/>
        <w:spacing w:lineRule="auto" w:line="288" w:before="0" w:after="12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The Company shall be entitled to participate therein at its own expense; </w:t>
      </w:r>
    </w:p>
    <w:p>
      <w:pPr>
        <w:pStyle w:val="TextBody"/>
        <w:bidi w:val="0"/>
        <w:spacing w:lineRule="auto" w:line="288" w:before="0" w:after="12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 xml:space="preserve">Except as otherwise provided in this Section 15(b), to the extent that it may wish, the Company, jointly with any other indemnifying party similarly notified, shall be entitled to assume the defense thereof, with counsel satisfactory to the Indemnitee. After notice from the Company to the Indemnitee of its election so to assume the defense thereof, the Company shall not be liable to the Indemnitee under this Agreement for any expenses of counsel subsequently incurred by the Indemnitee in connection with the defense thereof except as otherwise provided below. The Indemnitee shall have the right to employ the Indemnitee’s own counsel in such Proceeding, but the fees and expenses of such counsel incurred after notice from the Company of its assumption of the defense thereof shall be at the expense of the Indemnitee unless (i) the employment of counsel by the Indemnitee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authorized by the Company, (ii) the Indemnitee shall have reasonably concluded that there may be a conflict of interest between the Company and the Indemnitee in the conduct of the defense of such Proceeding, or (iii) the Company shall not within 60 calendar days of receipt of notice from the Indemnitee in fact have employed counsel to assume the defense of the Proceeding, in each of which cases the Indemnitee shall be entitled to advancement of all fees and expenses of the Indemnitee’s counsel in accordance with Section 16 hereof and to indemnification against such fees and expenses in accordance with the applicable provisions of this Agreement. The Company shall not be entitled to assume the defense of any Proceeding brought by or on behalf of the Company or as to which the Indemnitee shall have made the conclusion provided for in (ii) above; and</w:t>
      </w:r>
    </w:p>
    <w:p>
      <w:pPr>
        <w:pStyle w:val="TextBody"/>
        <w:bidi w:val="0"/>
        <w:spacing w:lineRule="auto" w:line="288" w:before="0" w:after="12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Notwithstanding any other provision of this Agreement, the Company shall not be liable to indemnify the Indemnitee under this Agreement for any amounts paid in settlement of any Proceeding effected without the Company’s written consent, or for any judicial or other award, if the Company was not given an opportunity, in accordance with this Section 15, to participate in the defense of such Proceeding. The Company shall not settle any Proceeding in any manner that would impose any penalty or limitation on or disclosure obligation with respect to the Indemnitee, or that would directly or indirectly constitute or impose any admission or acknowledgment of fault or culpability with respect to the Indemnitee, without the Indemnitee’s written consent. Neither the Company nor the Indemnitee shall unreasonably withhold any consent required under this Section 15(c).</w:t>
      </w:r>
    </w:p>
    <w:p>
      <w:pPr>
        <w:pStyle w:val="TextBody"/>
        <w:bidi w:val="0"/>
        <w:spacing w:lineRule="auto" w:line="288" w:before="0" w:after="120"/>
        <w:ind w:left="0" w:right="0" w:firstLine="720"/>
        <w:jc w:val="both"/>
        <w:rPr/>
      </w:pPr>
      <w:r>
        <w:rPr>
          <w:rFonts w:ascii="Times New Roman;serif" w:hAnsi="Times New Roman;serif"/>
          <w:b w:val="false"/>
          <w:color w:val="000000"/>
          <w:sz w:val="20"/>
        </w:rPr>
        <w:t>16.</w:t>
      </w:r>
      <w:r>
        <w:rPr>
          <w:rFonts w:ascii="Times New Roman;serif" w:hAnsi="Times New Roman;serif"/>
          <w:b w:val="false"/>
          <w:color w:val="000000"/>
          <w:sz w:val="20"/>
          <w:u w:val="single"/>
        </w:rPr>
        <w:t>Advancement of Expenses</w:t>
      </w:r>
      <w:r>
        <w:rPr>
          <w:rFonts w:ascii="Times New Roman;serif" w:hAnsi="Times New Roman;serif"/>
          <w:b w:val="false"/>
          <w:color w:val="000000"/>
          <w:sz w:val="20"/>
        </w:rPr>
        <w:t>. All Expenses incurred by the Indemnitee in defending any Proceeding described in Sections 4 or 5 hereof shall be paid by the Company in advance of the final disposition of such Proceeding at the request of the Indemnitee. The Indemnitee’s right to advancement shall not be subject to the satisfaction of any standard of conduct and advances shall be made without regard to the Indemnitee’s ultimate entitlement to indemnification under the provisions of this Agreement or otherwise; provided, however, that, if the Indemnitee is not a director of the Company, the Company shall not advance or continue to advance Expenses to the Indemnitee if a determination is reasonably made that the facts known at the time such determination is made demonstrate, by clear and convincing evidence, that the Indemnitee acted in bad faith or in a manner that the Indemnitee did not reasonably believe to be in or not opposed to the best interests of the Company, or, with respect to any criminal Proceeding, that the Indemnitee had reasonable cause to believe his or her conduct was unlawful. Such determination shall be made: (i) by the Board of Directors by a majority vote of the directors who are not parties to such Proceeding, whether or not such majority constitutes a quorum or (ii) if there are no such directors, or if such directors so direct, by Independent Counsel in a written opinion to the Board of Directors, a copy of which shall be delivered to the Indemnitee. To receive an advancement of Expenses under this Agreement, the Indemnitee shall submit a written request to the Secretary of the Company. Each such advancement of Expenses shall be made within 20 calendar days after the receipt by the Secretary of the Company of such written request. The Indemnitee shall qualify for such advancement of Expenses upon the execution and delivery to the Company of (x) this Agreement, which shall constitute an undertaking providing that the Indemnitee undertakes to repay all amounts so advanced if it shall ultimately be determined, by final judicial decision of a court of competent jurisdiction from which there is no further right to appeal, that the Indemnitee is not entitled to be indemnified for such Expenses by the Company as provided by this Agreement or otherwise, and (y) any other materials required by the TBOC. The Indemnitee’s undertaking to repay any such amounts is not required to be secured. The Indemnitee’s entitlement to Expenses under this Agreement shall include those incurred in connection with any action, suit, or proceeding by the Indemnitee seeking an adjudication or award in arbitration pursuant to Section 11 of this Agreement (including the enforcement of this provision) to the extent the court or arbitrator shall finally determine that the Indemnitee is entitled to an advancement of Expenses hereunder.</w:t>
      </w:r>
    </w:p>
    <w:p>
      <w:pPr>
        <w:pStyle w:val="TextBody"/>
        <w:bidi w:val="0"/>
        <w:spacing w:lineRule="auto" w:line="288" w:before="0" w:after="120"/>
        <w:ind w:left="0" w:right="0" w:firstLine="720"/>
        <w:jc w:val="both"/>
        <w:rPr/>
      </w:pPr>
      <w:r>
        <w:rPr>
          <w:rFonts w:ascii="Times New Roman;serif" w:hAnsi="Times New Roman;serif"/>
          <w:b w:val="false"/>
          <w:color w:val="000000"/>
          <w:sz w:val="20"/>
        </w:rPr>
        <w:t>17.</w:t>
      </w:r>
      <w:r>
        <w:rPr>
          <w:rFonts w:ascii="Times New Roman;serif" w:hAnsi="Times New Roman;serif"/>
          <w:b w:val="false"/>
          <w:color w:val="000000"/>
          <w:sz w:val="20"/>
          <w:u w:val="single"/>
        </w:rPr>
        <w:t>Severability; Prior Indemnification Agreements</w:t>
      </w:r>
      <w:r>
        <w:rPr>
          <w:rFonts w:ascii="Times New Roman;serif" w:hAnsi="Times New Roman;serif"/>
          <w:b w:val="false"/>
          <w:color w:val="000000"/>
          <w:sz w:val="20"/>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If any provision or provisions of this Agreement shall be held to be invalid, illegal, or unenforceable as applied to any person or entity or circumstance for any reason whatsoever, then, to the fullest extent permitted by law (i) the validity, legality, and enforceability of such provision in any other circumstance and of the remaining provisions of this Agreement (including, without limitation, all portions of any paragraphs of this Agreement containing any such provision held to be invalid, illegal, or unenforceable, that are not by themselves invalid, illegal, or unenforceable) and the application of such provision to other persons or entities or circumstances shall not in any way be affected or impaired thereby, and (ii) to the fullest extent possible, the provisions of this Agreement (including, without limitation, all portions of any paragraph of this Agreement containing any such provision held to be invalid, illegal, or unenforceable, that are not themselves invalid, illegal, or unenforceable) shall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 construed so as to give effect to the intent of the parties that the Company provide protection to the Indemnitee to the fullest extent set forth in this Agreement. </w:t>
      </w:r>
    </w:p>
    <w:p>
      <w:pPr>
        <w:pStyle w:val="TextBody"/>
        <w:bidi w:val="0"/>
        <w:spacing w:lineRule="auto" w:line="288" w:before="0" w:after="12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This Agreement shall supersede and replace any prior indemnification agreements entered into by and between the Company and the Indemnitee and any such prior agreements shall be terminated upon execution of this Agreement.</w:t>
      </w:r>
    </w:p>
    <w:p>
      <w:pPr>
        <w:pStyle w:val="TextBody"/>
        <w:bidi w:val="0"/>
        <w:spacing w:lineRule="auto" w:line="288" w:before="0" w:after="120"/>
        <w:ind w:left="0" w:right="0" w:firstLine="720"/>
        <w:jc w:val="both"/>
        <w:rPr/>
      </w:pPr>
      <w:r>
        <w:rPr>
          <w:rFonts w:ascii="Times New Roman;serif" w:hAnsi="Times New Roman;serif"/>
          <w:b w:val="false"/>
          <w:color w:val="000000"/>
          <w:sz w:val="20"/>
        </w:rPr>
        <w:t>18.</w:t>
      </w:r>
      <w:r>
        <w:rPr>
          <w:rFonts w:ascii="Times New Roman;serif" w:hAnsi="Times New Roman;serif"/>
          <w:b w:val="false"/>
          <w:color w:val="000000"/>
          <w:sz w:val="20"/>
          <w:u w:val="single"/>
        </w:rPr>
        <w:t>Headings; References; Pronouns</w:t>
      </w:r>
      <w:r>
        <w:rPr>
          <w:rFonts w:ascii="Times New Roman;serif" w:hAnsi="Times New Roman;serif"/>
          <w:b w:val="false"/>
          <w:color w:val="000000"/>
          <w:sz w:val="20"/>
        </w:rPr>
        <w:t>. The headings of the sections of this Agreement are inserted for convenience only and shall not be deemed to constitute part of this Agreement or to affect the construction thereof. References herein to section numbers are to sections of this Agreement. All pronouns and any variations thereof shall be deemed to refer to the singular or plural as appropriate.</w:t>
      </w:r>
    </w:p>
    <w:p>
      <w:pPr>
        <w:pStyle w:val="TextBody"/>
        <w:bidi w:val="0"/>
        <w:spacing w:lineRule="auto" w:line="288" w:before="0" w:after="120"/>
        <w:ind w:left="0" w:right="0" w:firstLine="720"/>
        <w:jc w:val="both"/>
        <w:rPr/>
      </w:pPr>
      <w:r>
        <w:rPr>
          <w:rFonts w:ascii="Times New Roman;serif" w:hAnsi="Times New Roman;serif"/>
          <w:b w:val="false"/>
          <w:color w:val="000000"/>
          <w:sz w:val="20"/>
        </w:rPr>
        <w:t>19.</w:t>
      </w:r>
      <w:r>
        <w:rPr>
          <w:rFonts w:ascii="Times New Roman;serif" w:hAnsi="Times New Roman;serif"/>
          <w:b w:val="false"/>
          <w:color w:val="000000"/>
          <w:sz w:val="20"/>
          <w:u w:val="single"/>
        </w:rPr>
        <w:t>Insurance</w:t>
      </w:r>
      <w:r>
        <w:rPr>
          <w:rFonts w:ascii="Times New Roman;serif" w:hAnsi="Times New Roman;serif"/>
          <w:b w:val="false"/>
          <w:color w:val="000000"/>
          <w:sz w:val="20"/>
        </w:rPr>
        <w:t>.</w:t>
      </w:r>
    </w:p>
    <w:p>
      <w:pPr>
        <w:pStyle w:val="TextBody"/>
        <w:bidi w:val="0"/>
        <w:spacing w:lineRule="auto" w:line="288" w:before="0" w:after="12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To the extent that the Company maintains an insurance policy or policies providing liability insurance for directors, officers, employees, agents or trustees of the Company or of any other corporation or of a partnership, joint venture, trust, or other enterprise (including an employee benefit plan), Indemnitee shall be covered by such policy or policies in accordance with its or their terms to the maximum extent of the coverage available for any such director,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pStyle w:val="TextBody"/>
        <w:bidi w:val="0"/>
        <w:spacing w:lineRule="auto" w:line="288" w:before="0" w:after="12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In the event of a Change in Control or the Company’s becoming insolvent, the Company shall maintain in force any and all insurance policies then maintained by the Company providing liability insurance for directors, officers, employees, agents or trustees of the Company or of any other corporation or of a partnership, joint venture, trust, or other enterprise (including an employee benefit plan), for a fixed period of six years thereafter (a “</w:t>
      </w:r>
      <w:r>
        <w:rPr>
          <w:rFonts w:ascii="Times New Roman;serif" w:hAnsi="Times New Roman;serif"/>
          <w:b w:val="false"/>
          <w:color w:val="000000"/>
          <w:sz w:val="20"/>
          <w:u w:val="single"/>
        </w:rPr>
        <w:t>Tail Policy</w:t>
      </w:r>
      <w:r>
        <w:rPr>
          <w:color w:val="000000"/>
        </w:rPr>
        <w:t>”</w:t>
      </w:r>
      <w:r>
        <w:rPr>
          <w:rFonts w:ascii="Times New Roman;serif" w:hAnsi="Times New Roman;serif"/>
          <w:b w:val="false"/>
          <w:color w:val="000000"/>
          <w:sz w:val="20"/>
        </w:rPr>
        <w:t>). Such coverage shall be non-cancellable and shall be placed and serviced for the duration of its term by the Company’s incumbent insurance broker. Such broker shall place the Tail Policy with the incumbent insurance carriers using the policies that were in place at the time of the Change in Control or insolvency (unless the incumbent carriers will not offer such policies, in which case the Tail Policy placed by the Company’s insurance broker shall be substantially comparable in scope and amount as the expiring policies, and the insurance carriers for the Tail Policy shall have an AM Best rating that is the same or better than the AM Best ratings of the expiring policies).</w:t>
      </w:r>
    </w:p>
    <w:p>
      <w:pPr>
        <w:pStyle w:val="TextBody"/>
        <w:bidi w:val="0"/>
        <w:spacing w:lineRule="auto" w:line="288" w:before="0" w:after="120"/>
        <w:ind w:left="0" w:right="0" w:firstLine="720"/>
        <w:jc w:val="both"/>
        <w:rPr/>
      </w:pPr>
      <w:r>
        <w:rPr>
          <w:rFonts w:ascii="Times New Roman;serif" w:hAnsi="Times New Roman;serif"/>
          <w:b w:val="false"/>
          <w:color w:val="000000"/>
          <w:sz w:val="20"/>
        </w:rPr>
        <w:t>20.</w:t>
      </w:r>
      <w:r>
        <w:rPr>
          <w:rFonts w:ascii="Times New Roman;serif" w:hAnsi="Times New Roman;serif"/>
          <w:b w:val="false"/>
          <w:color w:val="000000"/>
          <w:sz w:val="20"/>
          <w:u w:val="single"/>
        </w:rPr>
        <w:t>Other Provisions</w:t>
      </w:r>
      <w:r>
        <w:rPr>
          <w:rFonts w:ascii="Times New Roman;serif" w:hAnsi="Times New Roman;serif"/>
          <w:b w:val="false"/>
          <w:color w:val="000000"/>
          <w:sz w:val="20"/>
        </w:rPr>
        <w:t>.</w:t>
      </w:r>
    </w:p>
    <w:p>
      <w:pPr>
        <w:pStyle w:val="TextBody"/>
        <w:bidi w:val="0"/>
        <w:spacing w:lineRule="auto" w:line="288" w:before="0" w:after="12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This Agreement and all disputes or controversies arising out of or related to this Agreement shall be governed by, and construed in accordance with, the internal laws of the State of Texas, without regard to the laws of any other jurisdiction that might be applied because of conflicts of laws principles of the State of Texas, unless otherwise required by the law of the state in which the Indemnitee primarily resides and works.</w:t>
      </w:r>
    </w:p>
    <w:p>
      <w:pPr>
        <w:pStyle w:val="TextBody"/>
        <w:bidi w:val="0"/>
        <w:spacing w:lineRule="auto" w:line="288" w:before="0" w:after="12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 xml:space="preserve">Except with respect to any arbitration commenced by the Indemnitee pursuant to Section 11 of this Agreement, the Company and the Indemnitee hereby irrevocably and unconditionally (i) agree that any action or proceeding arising out of or in connection with this Agreement shall be brought only in the Texas Business Court (or, if the Texas Business Court does not have jurisdiction, the federal district court for the Northern District of Texas, Dallas Division, or the state district court of Dallas County, Texas, or another state court in Texas,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and for purposes of clarity, any suit, action or other proceeding shall only be brought before a state court in Dallas County, Texas , to the extent and only to the extent that the Texas Business Court and the federal district court do not have jurisdiction over the same), and not in any other state or federal court in the United States of America or any court in any other country, (ii) consent to submit to the exclusive jurisdiction of the Texas Business Court for purposes of any action or proceeding arising out of or in connection with this Agreement, (iii) consent to service of process at the address set forth in Section 20(h) of this Agreement with the same legal force and validity as if served upon such party personally within the State of Texas, (iv) waive any objection to the laying of venue of any such action or proceeding in the Texas Business Court and (v) waive, and agree not to plead or to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make, any claim that any such action or proceeding brought in the Texas Business Court has been brought in an improper or inconvenient forum.</w:t>
      </w:r>
    </w:p>
    <w:p>
      <w:pPr>
        <w:pStyle w:val="TextBody"/>
        <w:bidi w:val="0"/>
        <w:spacing w:lineRule="auto" w:line="288" w:before="0" w:after="12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UNLESS THE COMPANY CONSENTS IN WRITING TO A JURY TRIAL, THE COMPANY AND THE INDEMNITEE HEREBY IRREVOCABLY AND UNCONDITIONALLY WAIVE ANY RIGHT THAT THE COMPANY OR THE INDEMNITEE MAY HAVE TO A TRIAL BY JURY IN ANY LEGAL ACTION, PROCEEDING, CAUSE OF ACTION, COUNTERCLAIM, CROSS-CLAIM OR THIRD-PARTY CLAIM ARISING OUT OF OR RELATING TO THIS AGREEMENT OR ANY OF THE MATTERS RELATING HERETO OR ANY OBLIGATIONS HEREUNDER.</w:t>
      </w:r>
    </w:p>
    <w:p>
      <w:pPr>
        <w:pStyle w:val="TextBody"/>
        <w:bidi w:val="0"/>
        <w:spacing w:lineRule="auto" w:line="288" w:before="0" w:after="12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This Agreement may be executed in one or more counterparts, each of which shall be considered one and the same instrument and shall become effective when one or more counterparts have been signed by each of the parties and delivered to the other party.</w:t>
      </w:r>
    </w:p>
    <w:p>
      <w:pPr>
        <w:pStyle w:val="TextBody"/>
        <w:bidi w:val="0"/>
        <w:spacing w:lineRule="auto" w:line="288" w:before="0" w:after="12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This Agreement shall not be deemed an employment contract between the Company and any Indemnitee, and, if the Indemnitee is an officer of the Company, the Indemnitee specifically acknowledges that the Indemnitee may be discharged at any time for any reason, with or without cause, and with or without severance compensation, except as may be otherwise provided in a separate written contract between the Indemnitee and the Company.</w:t>
      </w:r>
    </w:p>
    <w:p>
      <w:pPr>
        <w:pStyle w:val="TextBody"/>
        <w:bidi w:val="0"/>
        <w:spacing w:lineRule="auto" w:line="288" w:before="0" w:after="12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rPr>
        <w:t>In the event of payment under this Agreement, the Company shall be subrogated to the extent of such payment to all of the rights of recovery of the Indemnitee (excluding insurance obtained on the Indemnitee’s own behalf), and the Indemnitee shall execute all papers required and shall do everything that may be necessary to secure such rights, including the execution of such documents necessary to enable the Company effectively to bring suit to enforce such rights.</w:t>
      </w:r>
    </w:p>
    <w:p>
      <w:pPr>
        <w:pStyle w:val="TextBody"/>
        <w:bidi w:val="0"/>
        <w:spacing w:lineRule="auto" w:line="288" w:before="0" w:after="12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rPr>
        <w:t>This Agreement may not be amended, modified, or supplemented in any manner, whether by course of conduct or otherwise, except by an instrument in writing specifically designated as an amendment hereto, signed on behalf of each party; provided, however, that no amendment, modification, or repeal of this Agreement or any provision hereof shall limit or restrict any right of the Indemnitee under this Agreement in respect of any action taken or omitted by such Indemnitee in his or her official capacity. No failure or delay of either party in exercising any right or remedy hereunder shall operate as a waiver thereof, and no single or partial exercise of any such right or power, or any abandonment or discontinuance of steps to enforce such right or power, or any course of conduct, shall preclude any other or further exercise thereof or the exercise of any other right or power.</w:t>
      </w:r>
    </w:p>
    <w:p>
      <w:pPr>
        <w:pStyle w:val="TextBody"/>
        <w:bidi w:val="0"/>
        <w:spacing w:lineRule="auto" w:line="288" w:before="0" w:after="12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rPr>
        <w:t>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email, upon the sender’s receipt of an acknowledgment from the intended recipient (such as by the “read receipt” function, as available, return email or other form of written acknowledgment):</w:t>
      </w:r>
    </w:p>
    <w:p>
      <w:pPr>
        <w:pStyle w:val="TextBody"/>
        <w:bidi w:val="0"/>
        <w:spacing w:lineRule="auto" w:line="288" w:before="0" w:after="120"/>
        <w:ind w:left="0" w:right="0" w:hanging="909"/>
        <w:jc w:val="both"/>
        <w:rPr>
          <w:rFonts w:ascii="Times New Roman;serif" w:hAnsi="Times New Roman;serif"/>
          <w:b w:val="false"/>
          <w:color w:val="000000"/>
          <w:sz w:val="20"/>
        </w:rPr>
      </w:pPr>
      <w:r>
        <w:rPr>
          <w:rFonts w:ascii="Times New Roman;serif" w:hAnsi="Times New Roman;serif"/>
          <w:b w:val="false"/>
          <w:color w:val="000000"/>
          <w:sz w:val="20"/>
        </w:rPr>
        <w:t>(i)If to the Indemnitee, at such as address as the Indemnitee shall provide to the Company.</w:t>
      </w:r>
    </w:p>
    <w:p>
      <w:pPr>
        <w:pStyle w:val="TextBody"/>
        <w:bidi w:val="0"/>
        <w:spacing w:lineRule="auto" w:line="288" w:before="0" w:after="120"/>
        <w:ind w:left="0" w:right="0" w:hanging="964"/>
        <w:jc w:val="both"/>
        <w:rPr>
          <w:rFonts w:ascii="Times New Roman;serif" w:hAnsi="Times New Roman;serif"/>
          <w:b w:val="false"/>
          <w:color w:val="000000"/>
          <w:sz w:val="20"/>
        </w:rPr>
      </w:pPr>
      <w:r>
        <w:rPr>
          <w:rFonts w:ascii="Times New Roman;serif" w:hAnsi="Times New Roman;serif"/>
          <w:b w:val="false"/>
          <w:color w:val="000000"/>
          <w:sz w:val="20"/>
        </w:rPr>
        <w:t>(ii)If to the Company, to:</w:t>
      </w:r>
    </w:p>
    <w:p>
      <w:pPr>
        <w:pStyle w:val="TextBody"/>
        <w:bidi w:val="0"/>
        <w:spacing w:lineRule="auto" w:line="288" w:before="0" w:after="0"/>
        <w:ind w:left="0" w:right="0" w:firstLine="3600"/>
        <w:jc w:val="both"/>
        <w:rPr>
          <w:rFonts w:ascii="Times New Roman;serif" w:hAnsi="Times New Roman;serif"/>
          <w:b w:val="false"/>
          <w:color w:val="000000"/>
          <w:sz w:val="20"/>
        </w:rPr>
      </w:pPr>
      <w:r>
        <w:rPr>
          <w:rFonts w:ascii="Times New Roman;serif" w:hAnsi="Times New Roman;serif"/>
          <w:b w:val="false"/>
          <w:color w:val="000000"/>
          <w:sz w:val="20"/>
        </w:rPr>
        <w:t>Natural Gas Services Group, Inc.</w:t>
      </w:r>
    </w:p>
    <w:p>
      <w:pPr>
        <w:pStyle w:val="TextBody"/>
        <w:bidi w:val="0"/>
        <w:spacing w:lineRule="auto" w:line="288" w:before="0" w:after="0"/>
        <w:ind w:left="0" w:right="0" w:firstLine="3600"/>
        <w:jc w:val="both"/>
        <w:rPr>
          <w:rFonts w:ascii="Times New Roman;serif" w:hAnsi="Times New Roman;serif"/>
          <w:b w:val="false"/>
          <w:color w:val="000000"/>
          <w:sz w:val="20"/>
        </w:rPr>
      </w:pPr>
      <w:r>
        <w:rPr>
          <w:rFonts w:ascii="Times New Roman;serif" w:hAnsi="Times New Roman;serif"/>
          <w:b w:val="false"/>
          <w:color w:val="000000"/>
          <w:sz w:val="20"/>
        </w:rPr>
        <w:t>601 State Street, Suite 400</w:t>
      </w:r>
    </w:p>
    <w:p>
      <w:pPr>
        <w:pStyle w:val="TextBody"/>
        <w:bidi w:val="0"/>
        <w:spacing w:lineRule="auto" w:line="288" w:before="0" w:after="0"/>
        <w:ind w:left="0" w:right="0" w:firstLine="3600"/>
        <w:jc w:val="both"/>
        <w:rPr>
          <w:rFonts w:ascii="Times New Roman;serif" w:hAnsi="Times New Roman;serif"/>
          <w:b w:val="false"/>
          <w:color w:val="000000"/>
          <w:sz w:val="20"/>
        </w:rPr>
      </w:pPr>
      <w:r>
        <w:rPr>
          <w:rFonts w:ascii="Times New Roman;serif" w:hAnsi="Times New Roman;serif"/>
          <w:b w:val="false"/>
          <w:color w:val="000000"/>
          <w:sz w:val="20"/>
        </w:rPr>
        <w:t>Southlake, TX 76092</w:t>
      </w:r>
    </w:p>
    <w:p>
      <w:pPr>
        <w:pStyle w:val="TextBody"/>
        <w:bidi w:val="0"/>
        <w:spacing w:lineRule="auto" w:line="288" w:before="0" w:after="0"/>
        <w:ind w:left="0" w:right="0" w:firstLine="3600"/>
        <w:jc w:val="both"/>
        <w:rPr>
          <w:rFonts w:ascii="Times New Roman;serif" w:hAnsi="Times New Roman;serif"/>
          <w:b w:val="false"/>
          <w:color w:val="000000"/>
          <w:sz w:val="20"/>
        </w:rPr>
      </w:pPr>
      <w:r>
        <w:rPr>
          <w:rFonts w:ascii="Times New Roman;serif" w:hAnsi="Times New Roman;serif"/>
          <w:b w:val="false"/>
          <w:color w:val="000000"/>
          <w:sz w:val="20"/>
        </w:rPr>
        <w:t xml:space="preserve">Attention: </w:t>
      </w:r>
    </w:p>
    <w:p>
      <w:pPr>
        <w:pStyle w:val="TextBody"/>
        <w:bidi w:val="0"/>
        <w:spacing w:lineRule="auto" w:line="288" w:before="0" w:after="120"/>
        <w:ind w:left="0" w:right="0" w:firstLine="3600"/>
        <w:jc w:val="both"/>
        <w:rPr>
          <w:rFonts w:ascii="Times New Roman;serif" w:hAnsi="Times New Roman;serif"/>
          <w:b w:val="false"/>
          <w:color w:val="000000"/>
          <w:sz w:val="20"/>
        </w:rPr>
      </w:pPr>
      <w:r>
        <w:rPr>
          <w:rFonts w:ascii="Times New Roman;serif" w:hAnsi="Times New Roman;serif"/>
          <w:b w:val="false"/>
          <w:color w:val="000000"/>
          <w:sz w:val="20"/>
        </w:rPr>
        <w:t xml:space="preserve">Email: </w:t>
      </w:r>
    </w:p>
    <w:p>
      <w:pPr>
        <w:pStyle w:val="TextBody"/>
        <w:bidi w:val="0"/>
        <w:spacing w:lineRule="auto" w:line="288" w:before="0" w:after="120"/>
        <w:ind w:left="0" w:right="0" w:firstLine="2160"/>
        <w:jc w:val="both"/>
        <w:rPr>
          <w:rFonts w:ascii="Times New Roman;serif" w:hAnsi="Times New Roman;serif"/>
          <w:b w:val="false"/>
          <w:color w:val="000000"/>
          <w:sz w:val="20"/>
        </w:rPr>
      </w:pPr>
      <w:r>
        <w:rPr>
          <w:rFonts w:ascii="Times New Roman;serif" w:hAnsi="Times New Roman;serif"/>
          <w:b w:val="false"/>
          <w:color w:val="000000"/>
          <w:sz w:val="20"/>
        </w:rPr>
        <w:t>or to any other address as may have been furnished to the Indemnitee by the Company.</w:t>
      </w:r>
    </w:p>
    <w:p>
      <w:pPr>
        <w:pStyle w:val="TextBody"/>
        <w:bidi w:val="0"/>
        <w:spacing w:lineRule="auto" w:line="288" w:before="0" w:after="12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(i)    To the fullest extent permitted by applicable law, if the indemnification provided for in this Agreement is unavailable to the Indemnitee for any reason whatsoever, the Company, in lieu of indemnifying the Indemnitee, shall contribute to the amount incurred by the Indemnitee, whether for judgments, fines, penalties,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excise taxes, amounts paid or to be paid in settlement and/or for Expenses, in connection with any Proceeding in such proportion as is deemed fair and reasonable in light of all of the circumstances in order to reflect (i) the relative benefits received by the Company and the Indemnitee in connection with the event(s) and/or transaction(s) giving rise to such Proceeding; and/or (ii) the relative fault of the Company (and its directors, officers, employees and agents) and the Indemnitee in connection with such event(s) and/or transactions.</w:t>
      </w:r>
    </w:p>
    <w:p>
      <w:pPr>
        <w:pStyle w:val="TextBody"/>
        <w:bidi w:val="0"/>
        <w:spacing w:before="0" w:after="120"/>
        <w:jc w:val="both"/>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remainder of this page is intentionally left blank.]</w:t>
      </w:r>
    </w:p>
    <w:p>
      <w:pPr>
        <w:pStyle w:val="TextBody"/>
        <w:bidi w:val="0"/>
        <w:spacing w:before="0" w:after="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Company and the Indemnitee have caused this Agreement to be executed as of the date first written above.</w:t>
      </w:r>
    </w:p>
    <w:p>
      <w:pPr>
        <w:pStyle w:val="TextBody"/>
        <w:bidi w:val="0"/>
        <w:spacing w:before="0" w:after="0"/>
        <w:ind w:left="0" w:right="0" w:firstLine="432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By:______________________________________</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Title: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Indemnitee:</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delle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27824</Words>
  <Characters>142245</Characters>
  <CharactersWithSpaces>169494</CharactersWithSpaces>
  <Paragraphs>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